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195" w:line="222" w:lineRule="auto"/>
        <w:rPr>
          <w:rFonts w:hint="eastAsia" w:ascii="仿宋" w:hAnsi="仿宋" w:eastAsia="仿宋" w:cs="仿宋"/>
          <w:sz w:val="32"/>
          <w:szCs w:val="32"/>
        </w:rPr>
      </w:pPr>
      <w:r>
        <w:rPr>
          <w:rFonts w:hint="eastAsia" w:ascii="仿宋" w:hAnsi="仿宋" w:eastAsia="仿宋" w:cs="仿宋"/>
          <w:spacing w:val="3"/>
          <w:sz w:val="32"/>
          <w:szCs w:val="32"/>
        </w:rPr>
        <w:t>附件3:</w:t>
      </w:r>
    </w:p>
    <w:p>
      <w:pPr>
        <w:spacing w:line="310" w:lineRule="auto"/>
        <w:rPr>
          <w:rFonts w:hint="eastAsia" w:ascii="仿宋" w:hAnsi="仿宋" w:eastAsia="仿宋" w:cs="仿宋"/>
          <w:sz w:val="32"/>
          <w:szCs w:val="32"/>
        </w:rPr>
      </w:pPr>
    </w:p>
    <w:p>
      <w:pPr>
        <w:jc w:val="center"/>
        <w:rPr>
          <w:rFonts w:hint="eastAsia" w:ascii="仿宋" w:hAnsi="仿宋" w:eastAsia="仿宋" w:cs="仿宋"/>
          <w:b/>
          <w:bCs w:val="0"/>
          <w:sz w:val="32"/>
          <w:szCs w:val="32"/>
          <w:lang w:val="en-US" w:eastAsia="zh-CN"/>
        </w:rPr>
      </w:pPr>
      <w:r>
        <w:rPr>
          <w:rFonts w:hint="eastAsia" w:ascii="仿宋" w:hAnsi="仿宋" w:eastAsia="仿宋" w:cs="仿宋"/>
          <w:b/>
          <w:bCs w:val="0"/>
          <w:sz w:val="32"/>
          <w:szCs w:val="32"/>
        </w:rPr>
        <w:t>20</w:t>
      </w:r>
      <w:r>
        <w:rPr>
          <w:rFonts w:hint="eastAsia" w:ascii="仿宋" w:hAnsi="仿宋" w:eastAsia="仿宋" w:cs="仿宋"/>
          <w:b/>
          <w:bCs w:val="0"/>
          <w:sz w:val="32"/>
          <w:szCs w:val="32"/>
          <w:lang w:val="en-US" w:eastAsia="zh-CN"/>
        </w:rPr>
        <w:t>24</w:t>
      </w:r>
      <w:r>
        <w:rPr>
          <w:rFonts w:hint="eastAsia" w:ascii="仿宋" w:hAnsi="仿宋" w:eastAsia="仿宋" w:cs="仿宋"/>
          <w:b/>
          <w:bCs w:val="0"/>
          <w:sz w:val="32"/>
          <w:szCs w:val="32"/>
        </w:rPr>
        <w:t>年度</w:t>
      </w:r>
      <w:r>
        <w:rPr>
          <w:rFonts w:hint="eastAsia" w:ascii="仿宋" w:hAnsi="仿宋" w:eastAsia="仿宋" w:cs="仿宋"/>
          <w:b/>
          <w:bCs w:val="0"/>
          <w:sz w:val="32"/>
          <w:szCs w:val="32"/>
          <w:lang w:val="en-US" w:eastAsia="zh-CN"/>
        </w:rPr>
        <w:t>三门峡经济开发区政务服务部</w:t>
      </w:r>
    </w:p>
    <w:p>
      <w:pPr>
        <w:jc w:val="center"/>
        <w:rPr>
          <w:rFonts w:hint="eastAsia" w:ascii="仿宋" w:hAnsi="仿宋" w:eastAsia="仿宋" w:cs="仿宋"/>
          <w:b/>
          <w:bCs w:val="0"/>
          <w:sz w:val="32"/>
          <w:szCs w:val="32"/>
        </w:rPr>
      </w:pPr>
      <w:r>
        <w:rPr>
          <w:rFonts w:hint="eastAsia" w:ascii="仿宋" w:hAnsi="仿宋" w:eastAsia="仿宋" w:cs="仿宋"/>
          <w:b/>
          <w:bCs w:val="0"/>
          <w:sz w:val="32"/>
          <w:szCs w:val="32"/>
        </w:rPr>
        <w:t>预算公开</w:t>
      </w:r>
    </w:p>
    <w:p>
      <w:pPr>
        <w:jc w:val="center"/>
        <w:rPr>
          <w:rFonts w:hint="eastAsia" w:ascii="仿宋" w:hAnsi="仿宋" w:eastAsia="仿宋" w:cs="仿宋"/>
          <w:b/>
          <w:sz w:val="32"/>
          <w:szCs w:val="32"/>
        </w:rPr>
      </w:pPr>
    </w:p>
    <w:p>
      <w:pPr>
        <w:keepNext w:val="0"/>
        <w:keepLines w:val="0"/>
        <w:pageBreakBefore w:val="0"/>
        <w:wordWrap/>
        <w:overflowPunct/>
        <w:topLinePunct w:val="0"/>
        <w:bidi w:val="0"/>
        <w:spacing w:line="560" w:lineRule="exact"/>
        <w:jc w:val="center"/>
        <w:rPr>
          <w:rFonts w:hint="eastAsia" w:ascii="仿宋" w:hAnsi="仿宋" w:eastAsia="仿宋" w:cs="仿宋"/>
          <w:b/>
          <w:bCs w:val="0"/>
          <w:sz w:val="32"/>
          <w:szCs w:val="32"/>
        </w:rPr>
      </w:pPr>
      <w:r>
        <w:rPr>
          <w:rFonts w:hint="eastAsia" w:ascii="仿宋" w:hAnsi="仿宋" w:eastAsia="仿宋" w:cs="仿宋"/>
          <w:b/>
          <w:bCs w:val="0"/>
          <w:sz w:val="32"/>
          <w:szCs w:val="32"/>
        </w:rPr>
        <w:t>目录</w:t>
      </w:r>
    </w:p>
    <w:p>
      <w:pPr>
        <w:keepNext w:val="0"/>
        <w:keepLines w:val="0"/>
        <w:pageBreakBefore w:val="0"/>
        <w:numPr>
          <w:ilvl w:val="0"/>
          <w:numId w:val="1"/>
        </w:numPr>
        <w:wordWrap/>
        <w:overflowPunct/>
        <w:topLinePunct w:val="0"/>
        <w:bidi w:val="0"/>
        <w:spacing w:line="560" w:lineRule="exact"/>
        <w:ind w:firstLine="643"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bCs w:val="0"/>
          <w:sz w:val="32"/>
          <w:szCs w:val="32"/>
          <w:lang w:val="en-US" w:eastAsia="zh-CN"/>
        </w:rPr>
        <w:t>三门峡经济开发区政务服务部概况</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firstLine="964" w:firstLineChars="300"/>
        <w:jc w:val="left"/>
        <w:textAlignment w:val="baseline"/>
        <w:rPr>
          <w:rFonts w:hint="eastAsia" w:ascii="仿宋" w:hAnsi="仿宋" w:eastAsia="仿宋" w:cs="仿宋"/>
          <w:b w:val="0"/>
          <w:bCs w:val="0"/>
          <w:sz w:val="32"/>
          <w:szCs w:val="32"/>
          <w:lang w:val="en-US" w:eastAsia="zh-CN"/>
        </w:rPr>
      </w:pPr>
      <w:r>
        <w:rPr>
          <w:rFonts w:hint="eastAsia" w:ascii="仿宋" w:hAnsi="仿宋" w:eastAsia="仿宋" w:cs="仿宋"/>
          <w:b/>
          <w:bCs w:val="0"/>
          <w:sz w:val="32"/>
          <w:szCs w:val="32"/>
          <w:lang w:val="en-US" w:eastAsia="zh-CN"/>
        </w:rPr>
        <w:t>一、</w:t>
      </w:r>
      <w:r>
        <w:rPr>
          <w:rFonts w:hint="eastAsia" w:ascii="仿宋" w:hAnsi="仿宋" w:eastAsia="仿宋" w:cs="仿宋"/>
          <w:b w:val="0"/>
          <w:bCs w:val="0"/>
          <w:sz w:val="32"/>
          <w:szCs w:val="32"/>
          <w:lang w:val="en-US" w:eastAsia="zh-CN"/>
        </w:rPr>
        <w:t>主要职责</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996" w:firstLineChars="300"/>
        <w:textAlignment w:val="baseline"/>
        <w:rPr>
          <w:rFonts w:hint="eastAsia" w:ascii="仿宋" w:hAnsi="仿宋" w:eastAsia="仿宋" w:cs="仿宋"/>
          <w:spacing w:val="6"/>
          <w:sz w:val="32"/>
          <w:szCs w:val="32"/>
        </w:rPr>
      </w:pPr>
      <w:r>
        <w:rPr>
          <w:rFonts w:hint="eastAsia" w:ascii="仿宋" w:hAnsi="仿宋" w:eastAsia="仿宋" w:cs="仿宋"/>
          <w:spacing w:val="6"/>
          <w:sz w:val="32"/>
          <w:szCs w:val="32"/>
        </w:rPr>
        <w:t>二、机构设置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996" w:firstLineChars="300"/>
        <w:textAlignment w:val="baseline"/>
        <w:rPr>
          <w:rFonts w:hint="eastAsia" w:ascii="仿宋" w:hAnsi="仿宋" w:eastAsia="仿宋" w:cs="仿宋"/>
          <w:sz w:val="32"/>
          <w:szCs w:val="32"/>
        </w:rPr>
      </w:pPr>
      <w:r>
        <w:rPr>
          <w:rFonts w:hint="eastAsia" w:cs="仿宋"/>
          <w:spacing w:val="6"/>
          <w:sz w:val="32"/>
          <w:szCs w:val="32"/>
          <w:lang w:eastAsia="zh-CN"/>
        </w:rPr>
        <w:t>三、</w:t>
      </w:r>
      <w:r>
        <w:rPr>
          <w:rFonts w:hint="eastAsia" w:ascii="仿宋" w:hAnsi="仿宋" w:eastAsia="仿宋" w:cs="仿宋"/>
          <w:spacing w:val="6"/>
          <w:sz w:val="32"/>
          <w:szCs w:val="32"/>
        </w:rPr>
        <w:t>部门所属预算单位构成情况</w:t>
      </w:r>
    </w:p>
    <w:p>
      <w:pPr>
        <w:pStyle w:val="9"/>
        <w:keepNext w:val="0"/>
        <w:keepLines w:val="0"/>
        <w:pageBreakBefore w:val="0"/>
        <w:numPr>
          <w:ilvl w:val="0"/>
          <w:numId w:val="0"/>
        </w:numPr>
        <w:wordWrap/>
        <w:overflowPunct/>
        <w:topLinePunct w:val="0"/>
        <w:bidi w:val="0"/>
        <w:spacing w:line="560" w:lineRule="exact"/>
        <w:ind w:firstLine="643" w:firstLineChars="200"/>
        <w:jc w:val="left"/>
        <w:rPr>
          <w:rFonts w:hint="eastAsia" w:ascii="仿宋" w:hAnsi="仿宋" w:eastAsia="仿宋" w:cs="仿宋"/>
          <w:b/>
          <w:bCs w:val="0"/>
          <w:sz w:val="32"/>
          <w:szCs w:val="32"/>
        </w:rPr>
      </w:pPr>
      <w:r>
        <w:rPr>
          <w:rFonts w:hint="eastAsia" w:ascii="仿宋" w:hAnsi="仿宋" w:eastAsia="仿宋" w:cs="仿宋"/>
          <w:b/>
          <w:bCs w:val="0"/>
          <w:sz w:val="32"/>
          <w:szCs w:val="32"/>
          <w:lang w:val="en-US" w:eastAsia="zh-CN"/>
        </w:rPr>
        <w:t>第二部分三门峡经济开发区政务服务部</w:t>
      </w:r>
      <w:r>
        <w:rPr>
          <w:rFonts w:hint="eastAsia" w:ascii="仿宋" w:hAnsi="仿宋" w:eastAsia="仿宋" w:cs="仿宋"/>
          <w:b/>
          <w:bCs w:val="0"/>
          <w:sz w:val="32"/>
          <w:szCs w:val="32"/>
        </w:rPr>
        <w:t>部门202</w:t>
      </w:r>
      <w:r>
        <w:rPr>
          <w:rFonts w:hint="eastAsia" w:ascii="仿宋" w:hAnsi="仿宋" w:eastAsia="仿宋" w:cs="仿宋"/>
          <w:b/>
          <w:bCs w:val="0"/>
          <w:sz w:val="32"/>
          <w:szCs w:val="32"/>
          <w:lang w:val="en-US" w:eastAsia="zh-CN"/>
        </w:rPr>
        <w:t>4</w:t>
      </w:r>
      <w:r>
        <w:rPr>
          <w:rFonts w:hint="eastAsia" w:ascii="仿宋" w:hAnsi="仿宋" w:eastAsia="仿宋" w:cs="仿宋"/>
          <w:b/>
          <w:bCs w:val="0"/>
          <w:sz w:val="32"/>
          <w:szCs w:val="32"/>
        </w:rPr>
        <w:t>年度部门预算情况说明</w:t>
      </w:r>
    </w:p>
    <w:p>
      <w:pPr>
        <w:pStyle w:val="9"/>
        <w:keepNext w:val="0"/>
        <w:keepLines w:val="0"/>
        <w:pageBreakBefore w:val="0"/>
        <w:numPr>
          <w:ilvl w:val="0"/>
          <w:numId w:val="0"/>
        </w:numPr>
        <w:wordWrap/>
        <w:overflowPunct/>
        <w:topLinePunct w:val="0"/>
        <w:bidi w:val="0"/>
        <w:spacing w:line="560" w:lineRule="exact"/>
        <w:ind w:firstLine="643" w:firstLineChars="200"/>
        <w:jc w:val="left"/>
        <w:rPr>
          <w:rFonts w:hint="eastAsia" w:ascii="仿宋" w:hAnsi="仿宋" w:eastAsia="仿宋" w:cs="仿宋"/>
          <w:b/>
          <w:bCs w:val="0"/>
          <w:sz w:val="32"/>
          <w:szCs w:val="32"/>
        </w:rPr>
      </w:pPr>
      <w:r>
        <w:rPr>
          <w:rFonts w:hint="eastAsia" w:ascii="仿宋" w:hAnsi="仿宋" w:eastAsia="仿宋" w:cs="仿宋"/>
          <w:b/>
          <w:bCs w:val="0"/>
          <w:sz w:val="32"/>
          <w:szCs w:val="32"/>
        </w:rPr>
        <w:t>第三部分名词解释</w:t>
      </w:r>
    </w:p>
    <w:p>
      <w:pPr>
        <w:pStyle w:val="9"/>
        <w:keepNext w:val="0"/>
        <w:keepLines w:val="0"/>
        <w:pageBreakBefore w:val="0"/>
        <w:numPr>
          <w:ilvl w:val="0"/>
          <w:numId w:val="0"/>
        </w:numPr>
        <w:wordWrap/>
        <w:overflowPunct/>
        <w:topLinePunct w:val="0"/>
        <w:bidi w:val="0"/>
        <w:spacing w:line="560" w:lineRule="exact"/>
        <w:ind w:firstLine="964" w:firstLineChars="300"/>
        <w:jc w:val="left"/>
        <w:rPr>
          <w:rFonts w:hint="eastAsia" w:ascii="仿宋" w:hAnsi="仿宋" w:eastAsia="仿宋" w:cs="仿宋"/>
          <w:b/>
          <w:bCs w:val="0"/>
          <w:sz w:val="32"/>
          <w:szCs w:val="32"/>
        </w:rPr>
      </w:pPr>
      <w:r>
        <w:rPr>
          <w:rFonts w:hint="eastAsia" w:ascii="仿宋" w:hAnsi="仿宋" w:eastAsia="仿宋" w:cs="仿宋"/>
          <w:b/>
          <w:bCs w:val="0"/>
          <w:sz w:val="32"/>
          <w:szCs w:val="32"/>
        </w:rPr>
        <w:t>附件：</w:t>
      </w:r>
      <w:r>
        <w:rPr>
          <w:rFonts w:hint="eastAsia" w:ascii="仿宋" w:hAnsi="仿宋" w:eastAsia="仿宋" w:cs="仿宋"/>
          <w:b/>
          <w:bCs w:val="0"/>
          <w:sz w:val="32"/>
          <w:szCs w:val="32"/>
          <w:lang w:val="en-US" w:eastAsia="zh-CN"/>
        </w:rPr>
        <w:t>三门峡经济开发区政务服务部</w:t>
      </w:r>
      <w:r>
        <w:rPr>
          <w:rFonts w:hint="eastAsia" w:ascii="仿宋" w:hAnsi="仿宋" w:eastAsia="仿宋" w:cs="仿宋"/>
          <w:b/>
          <w:bCs w:val="0"/>
          <w:sz w:val="32"/>
          <w:szCs w:val="32"/>
        </w:rPr>
        <w:t>部门202</w:t>
      </w:r>
      <w:r>
        <w:rPr>
          <w:rFonts w:hint="eastAsia" w:ascii="仿宋" w:hAnsi="仿宋" w:eastAsia="仿宋" w:cs="仿宋"/>
          <w:b/>
          <w:bCs w:val="0"/>
          <w:sz w:val="32"/>
          <w:szCs w:val="32"/>
          <w:lang w:val="en-US" w:eastAsia="zh-CN"/>
        </w:rPr>
        <w:t>4</w:t>
      </w:r>
      <w:r>
        <w:rPr>
          <w:rFonts w:hint="eastAsia" w:ascii="仿宋" w:hAnsi="仿宋" w:eastAsia="仿宋" w:cs="仿宋"/>
          <w:b/>
          <w:bCs w:val="0"/>
          <w:sz w:val="32"/>
          <w:szCs w:val="32"/>
        </w:rPr>
        <w:t>年度部门预算</w:t>
      </w:r>
    </w:p>
    <w:p>
      <w:pPr>
        <w:pStyle w:val="9"/>
        <w:keepNext w:val="0"/>
        <w:keepLines w:val="0"/>
        <w:pageBreakBefore w:val="0"/>
        <w:numPr>
          <w:ilvl w:val="0"/>
          <w:numId w:val="0"/>
        </w:numPr>
        <w:wordWrap/>
        <w:overflowPunct/>
        <w:topLinePunct w:val="0"/>
        <w:bidi w:val="0"/>
        <w:spacing w:line="560" w:lineRule="exact"/>
        <w:ind w:firstLine="960" w:firstLineChars="300"/>
        <w:jc w:val="left"/>
        <w:rPr>
          <w:rFonts w:hint="eastAsia" w:ascii="仿宋" w:hAnsi="仿宋" w:eastAsia="仿宋" w:cs="仿宋"/>
          <w:bCs/>
          <w:sz w:val="32"/>
          <w:szCs w:val="32"/>
        </w:rPr>
      </w:pPr>
      <w:r>
        <w:rPr>
          <w:rFonts w:hint="eastAsia" w:ascii="仿宋" w:hAnsi="仿宋" w:eastAsia="仿宋" w:cs="仿宋"/>
          <w:bCs/>
          <w:sz w:val="32"/>
          <w:szCs w:val="32"/>
        </w:rPr>
        <w:t>表一、部门收支总体情况</w:t>
      </w:r>
    </w:p>
    <w:p>
      <w:pPr>
        <w:pStyle w:val="9"/>
        <w:keepNext w:val="0"/>
        <w:keepLines w:val="0"/>
        <w:pageBreakBefore w:val="0"/>
        <w:numPr>
          <w:ilvl w:val="0"/>
          <w:numId w:val="0"/>
        </w:numPr>
        <w:wordWrap/>
        <w:overflowPunct/>
        <w:topLinePunct w:val="0"/>
        <w:bidi w:val="0"/>
        <w:spacing w:line="560" w:lineRule="exact"/>
        <w:ind w:firstLine="960" w:firstLineChars="300"/>
        <w:jc w:val="left"/>
        <w:rPr>
          <w:rFonts w:hint="eastAsia" w:ascii="仿宋" w:hAnsi="仿宋" w:eastAsia="仿宋" w:cs="仿宋"/>
          <w:bCs/>
          <w:sz w:val="32"/>
          <w:szCs w:val="32"/>
        </w:rPr>
      </w:pPr>
      <w:r>
        <w:rPr>
          <w:rFonts w:hint="eastAsia" w:ascii="仿宋" w:hAnsi="仿宋" w:eastAsia="仿宋" w:cs="仿宋"/>
          <w:bCs/>
          <w:sz w:val="32"/>
          <w:szCs w:val="32"/>
        </w:rPr>
        <w:t>表二、部门收入总体情况</w:t>
      </w:r>
    </w:p>
    <w:p>
      <w:pPr>
        <w:pStyle w:val="9"/>
        <w:keepNext w:val="0"/>
        <w:keepLines w:val="0"/>
        <w:pageBreakBefore w:val="0"/>
        <w:numPr>
          <w:ilvl w:val="0"/>
          <w:numId w:val="0"/>
        </w:numPr>
        <w:wordWrap/>
        <w:overflowPunct/>
        <w:topLinePunct w:val="0"/>
        <w:bidi w:val="0"/>
        <w:spacing w:line="560" w:lineRule="exact"/>
        <w:ind w:firstLine="960" w:firstLineChars="300"/>
        <w:jc w:val="left"/>
        <w:rPr>
          <w:rFonts w:hint="eastAsia" w:ascii="仿宋" w:hAnsi="仿宋" w:eastAsia="仿宋" w:cs="仿宋"/>
          <w:bCs/>
          <w:sz w:val="32"/>
          <w:szCs w:val="32"/>
        </w:rPr>
      </w:pPr>
      <w:r>
        <w:rPr>
          <w:rFonts w:hint="eastAsia" w:ascii="仿宋" w:hAnsi="仿宋" w:eastAsia="仿宋" w:cs="仿宋"/>
          <w:bCs/>
          <w:sz w:val="32"/>
          <w:szCs w:val="32"/>
        </w:rPr>
        <w:t>表三、部门支出总体情况</w:t>
      </w:r>
    </w:p>
    <w:p>
      <w:pPr>
        <w:pStyle w:val="9"/>
        <w:keepNext w:val="0"/>
        <w:keepLines w:val="0"/>
        <w:pageBreakBefore w:val="0"/>
        <w:numPr>
          <w:ilvl w:val="0"/>
          <w:numId w:val="0"/>
        </w:numPr>
        <w:wordWrap/>
        <w:overflowPunct/>
        <w:topLinePunct w:val="0"/>
        <w:bidi w:val="0"/>
        <w:spacing w:line="560" w:lineRule="exact"/>
        <w:ind w:firstLine="960" w:firstLineChars="300"/>
        <w:jc w:val="left"/>
        <w:rPr>
          <w:rFonts w:hint="eastAsia" w:ascii="仿宋" w:hAnsi="仿宋" w:eastAsia="仿宋" w:cs="仿宋"/>
          <w:bCs/>
          <w:sz w:val="32"/>
          <w:szCs w:val="32"/>
        </w:rPr>
      </w:pPr>
      <w:r>
        <w:rPr>
          <w:rFonts w:hint="eastAsia" w:ascii="仿宋" w:hAnsi="仿宋" w:eastAsia="仿宋" w:cs="仿宋"/>
          <w:bCs/>
          <w:sz w:val="32"/>
          <w:szCs w:val="32"/>
        </w:rPr>
        <w:t>表四、财政拨款收支总体情况</w:t>
      </w:r>
    </w:p>
    <w:p>
      <w:pPr>
        <w:pStyle w:val="9"/>
        <w:keepNext w:val="0"/>
        <w:keepLines w:val="0"/>
        <w:pageBreakBefore w:val="0"/>
        <w:numPr>
          <w:ilvl w:val="0"/>
          <w:numId w:val="0"/>
        </w:numPr>
        <w:wordWrap/>
        <w:overflowPunct/>
        <w:topLinePunct w:val="0"/>
        <w:bidi w:val="0"/>
        <w:spacing w:line="560" w:lineRule="exact"/>
        <w:ind w:firstLine="960" w:firstLineChars="300"/>
        <w:jc w:val="left"/>
        <w:rPr>
          <w:rFonts w:hint="eastAsia" w:ascii="仿宋" w:hAnsi="仿宋" w:eastAsia="仿宋" w:cs="仿宋"/>
          <w:bCs/>
          <w:sz w:val="32"/>
          <w:szCs w:val="32"/>
        </w:rPr>
      </w:pPr>
      <w:r>
        <w:rPr>
          <w:rFonts w:hint="eastAsia" w:ascii="仿宋" w:hAnsi="仿宋" w:eastAsia="仿宋" w:cs="仿宋"/>
          <w:bCs/>
          <w:sz w:val="32"/>
          <w:szCs w:val="32"/>
        </w:rPr>
        <w:t>表五、一般公共预算支出情况</w:t>
      </w:r>
    </w:p>
    <w:p>
      <w:pPr>
        <w:pStyle w:val="9"/>
        <w:keepNext w:val="0"/>
        <w:keepLines w:val="0"/>
        <w:pageBreakBefore w:val="0"/>
        <w:numPr>
          <w:ilvl w:val="0"/>
          <w:numId w:val="0"/>
        </w:numPr>
        <w:wordWrap/>
        <w:overflowPunct/>
        <w:topLinePunct w:val="0"/>
        <w:bidi w:val="0"/>
        <w:spacing w:line="560" w:lineRule="exact"/>
        <w:ind w:firstLine="960" w:firstLineChars="300"/>
        <w:jc w:val="left"/>
        <w:rPr>
          <w:rFonts w:hint="eastAsia" w:ascii="仿宋" w:hAnsi="仿宋" w:eastAsia="仿宋" w:cs="仿宋"/>
          <w:bCs/>
          <w:sz w:val="32"/>
          <w:szCs w:val="32"/>
        </w:rPr>
      </w:pPr>
      <w:r>
        <w:rPr>
          <w:rFonts w:hint="eastAsia" w:ascii="仿宋" w:hAnsi="仿宋" w:eastAsia="仿宋" w:cs="仿宋"/>
          <w:bCs/>
          <w:sz w:val="32"/>
          <w:szCs w:val="32"/>
        </w:rPr>
        <w:t>表六、一般公共预算基本支出情况</w:t>
      </w:r>
    </w:p>
    <w:p>
      <w:pPr>
        <w:pStyle w:val="9"/>
        <w:keepNext w:val="0"/>
        <w:keepLines w:val="0"/>
        <w:pageBreakBefore w:val="0"/>
        <w:numPr>
          <w:ilvl w:val="0"/>
          <w:numId w:val="0"/>
        </w:numPr>
        <w:wordWrap/>
        <w:overflowPunct/>
        <w:topLinePunct w:val="0"/>
        <w:bidi w:val="0"/>
        <w:spacing w:line="560" w:lineRule="exact"/>
        <w:ind w:firstLine="960" w:firstLineChars="300"/>
        <w:jc w:val="left"/>
        <w:rPr>
          <w:rFonts w:hint="eastAsia" w:ascii="仿宋" w:hAnsi="仿宋" w:eastAsia="仿宋" w:cs="仿宋"/>
          <w:bCs/>
          <w:sz w:val="32"/>
          <w:szCs w:val="32"/>
        </w:rPr>
      </w:pPr>
      <w:r>
        <w:rPr>
          <w:rFonts w:hint="eastAsia" w:ascii="仿宋" w:hAnsi="仿宋" w:eastAsia="仿宋" w:cs="仿宋"/>
          <w:bCs/>
          <w:sz w:val="32"/>
          <w:szCs w:val="32"/>
        </w:rPr>
        <w:t>表七、支出经济分类汇总</w:t>
      </w:r>
    </w:p>
    <w:p>
      <w:pPr>
        <w:pStyle w:val="9"/>
        <w:keepNext w:val="0"/>
        <w:keepLines w:val="0"/>
        <w:pageBreakBefore w:val="0"/>
        <w:numPr>
          <w:ilvl w:val="0"/>
          <w:numId w:val="0"/>
        </w:numPr>
        <w:wordWrap/>
        <w:overflowPunct/>
        <w:topLinePunct w:val="0"/>
        <w:bidi w:val="0"/>
        <w:spacing w:line="560" w:lineRule="exact"/>
        <w:ind w:firstLine="960" w:firstLineChars="300"/>
        <w:jc w:val="left"/>
        <w:rPr>
          <w:rFonts w:hint="eastAsia" w:ascii="仿宋" w:hAnsi="仿宋" w:eastAsia="仿宋" w:cs="仿宋"/>
          <w:bCs/>
          <w:sz w:val="32"/>
          <w:szCs w:val="32"/>
        </w:rPr>
      </w:pPr>
      <w:r>
        <w:rPr>
          <w:rFonts w:hint="eastAsia" w:ascii="仿宋" w:hAnsi="仿宋" w:eastAsia="仿宋" w:cs="仿宋"/>
          <w:bCs/>
          <w:sz w:val="32"/>
          <w:szCs w:val="32"/>
        </w:rPr>
        <w:t>表八、一般公共预算"三公"经费支出情况</w:t>
      </w:r>
    </w:p>
    <w:p>
      <w:pPr>
        <w:pStyle w:val="9"/>
        <w:keepNext w:val="0"/>
        <w:keepLines w:val="0"/>
        <w:pageBreakBefore w:val="0"/>
        <w:numPr>
          <w:ilvl w:val="0"/>
          <w:numId w:val="0"/>
        </w:numPr>
        <w:wordWrap/>
        <w:overflowPunct/>
        <w:topLinePunct w:val="0"/>
        <w:bidi w:val="0"/>
        <w:spacing w:line="560" w:lineRule="exact"/>
        <w:ind w:firstLine="960" w:firstLineChars="300"/>
        <w:jc w:val="left"/>
        <w:rPr>
          <w:rFonts w:hint="eastAsia" w:ascii="仿宋" w:hAnsi="仿宋" w:eastAsia="仿宋" w:cs="仿宋"/>
          <w:bCs/>
          <w:sz w:val="32"/>
          <w:szCs w:val="32"/>
        </w:rPr>
      </w:pPr>
      <w:r>
        <w:rPr>
          <w:rFonts w:hint="eastAsia" w:ascii="仿宋" w:hAnsi="仿宋" w:eastAsia="仿宋" w:cs="仿宋"/>
          <w:bCs/>
          <w:sz w:val="32"/>
          <w:szCs w:val="32"/>
        </w:rPr>
        <w:t>表九、政府性基金预算支出情况</w:t>
      </w:r>
    </w:p>
    <w:p>
      <w:pPr>
        <w:pStyle w:val="9"/>
        <w:keepNext w:val="0"/>
        <w:keepLines w:val="0"/>
        <w:pageBreakBefore w:val="0"/>
        <w:numPr>
          <w:ilvl w:val="0"/>
          <w:numId w:val="0"/>
        </w:numPr>
        <w:wordWrap/>
        <w:overflowPunct/>
        <w:topLinePunct w:val="0"/>
        <w:bidi w:val="0"/>
        <w:spacing w:line="560" w:lineRule="exact"/>
        <w:ind w:firstLine="960" w:firstLineChars="300"/>
        <w:jc w:val="left"/>
        <w:rPr>
          <w:rFonts w:hint="eastAsia" w:ascii="仿宋" w:hAnsi="仿宋" w:eastAsia="仿宋" w:cs="仿宋"/>
          <w:bCs/>
          <w:sz w:val="32"/>
          <w:szCs w:val="32"/>
        </w:rPr>
      </w:pPr>
      <w:r>
        <w:rPr>
          <w:rFonts w:hint="eastAsia" w:ascii="仿宋" w:hAnsi="仿宋" w:eastAsia="仿宋" w:cs="仿宋"/>
          <w:bCs/>
          <w:sz w:val="32"/>
          <w:szCs w:val="32"/>
        </w:rPr>
        <w:t>表十、项目支出预算</w:t>
      </w:r>
    </w:p>
    <w:p>
      <w:pPr>
        <w:pStyle w:val="9"/>
        <w:keepNext w:val="0"/>
        <w:keepLines w:val="0"/>
        <w:pageBreakBefore w:val="0"/>
        <w:numPr>
          <w:ilvl w:val="0"/>
          <w:numId w:val="0"/>
        </w:numPr>
        <w:wordWrap/>
        <w:overflowPunct/>
        <w:topLinePunct w:val="0"/>
        <w:bidi w:val="0"/>
        <w:spacing w:line="560" w:lineRule="exact"/>
        <w:ind w:firstLine="960" w:firstLineChars="300"/>
        <w:jc w:val="left"/>
        <w:rPr>
          <w:rFonts w:hint="eastAsia" w:ascii="仿宋" w:hAnsi="仿宋" w:eastAsia="仿宋" w:cs="仿宋"/>
          <w:bCs/>
          <w:sz w:val="32"/>
          <w:szCs w:val="32"/>
        </w:rPr>
      </w:pPr>
      <w:r>
        <w:rPr>
          <w:rFonts w:hint="eastAsia" w:ascii="仿宋" w:hAnsi="仿宋" w:eastAsia="仿宋" w:cs="仿宋"/>
          <w:bCs/>
          <w:sz w:val="32"/>
          <w:szCs w:val="32"/>
        </w:rPr>
        <w:t>表十一、部门（单位）整体绩效目标</w:t>
      </w:r>
    </w:p>
    <w:p>
      <w:pPr>
        <w:pStyle w:val="9"/>
        <w:keepNext w:val="0"/>
        <w:keepLines w:val="0"/>
        <w:pageBreakBefore w:val="0"/>
        <w:numPr>
          <w:ilvl w:val="0"/>
          <w:numId w:val="0"/>
        </w:numPr>
        <w:wordWrap/>
        <w:overflowPunct/>
        <w:topLinePunct w:val="0"/>
        <w:bidi w:val="0"/>
        <w:spacing w:line="560" w:lineRule="exact"/>
        <w:ind w:firstLine="960" w:firstLineChars="300"/>
        <w:jc w:val="left"/>
        <w:rPr>
          <w:rFonts w:hint="eastAsia" w:ascii="仿宋" w:hAnsi="仿宋" w:eastAsia="仿宋" w:cs="仿宋"/>
          <w:bCs/>
          <w:sz w:val="32"/>
          <w:szCs w:val="32"/>
        </w:rPr>
      </w:pPr>
      <w:r>
        <w:rPr>
          <w:rFonts w:hint="eastAsia" w:ascii="仿宋" w:hAnsi="仿宋" w:eastAsia="仿宋" w:cs="仿宋"/>
          <w:bCs/>
          <w:sz w:val="32"/>
          <w:szCs w:val="32"/>
        </w:rPr>
        <w:t>表十二、部门预算项目绩效目标汇总表</w:t>
      </w:r>
    </w:p>
    <w:p>
      <w:pPr>
        <w:pStyle w:val="9"/>
        <w:keepNext w:val="0"/>
        <w:keepLines w:val="0"/>
        <w:pageBreakBefore w:val="0"/>
        <w:wordWrap/>
        <w:overflowPunct/>
        <w:topLinePunct w:val="0"/>
        <w:bidi w:val="0"/>
        <w:spacing w:line="560" w:lineRule="exact"/>
        <w:ind w:left="1260" w:firstLine="0" w:firstLineChars="0"/>
        <w:jc w:val="left"/>
        <w:rPr>
          <w:rFonts w:hint="eastAsia" w:ascii="仿宋" w:hAnsi="仿宋" w:eastAsia="仿宋" w:cs="仿宋"/>
          <w:b/>
          <w:sz w:val="32"/>
          <w:szCs w:val="32"/>
        </w:rPr>
      </w:pPr>
    </w:p>
    <w:p>
      <w:pPr>
        <w:pStyle w:val="9"/>
        <w:keepNext w:val="0"/>
        <w:keepLines w:val="0"/>
        <w:pageBreakBefore w:val="0"/>
        <w:wordWrap/>
        <w:overflowPunct/>
        <w:topLinePunct w:val="0"/>
        <w:bidi w:val="0"/>
        <w:spacing w:line="560" w:lineRule="exact"/>
        <w:ind w:left="1260" w:firstLine="0" w:firstLineChars="0"/>
        <w:jc w:val="left"/>
        <w:rPr>
          <w:rFonts w:hint="eastAsia" w:ascii="仿宋" w:hAnsi="仿宋" w:eastAsia="仿宋" w:cs="仿宋"/>
          <w:b/>
          <w:sz w:val="32"/>
          <w:szCs w:val="32"/>
        </w:rPr>
      </w:pPr>
    </w:p>
    <w:p>
      <w:pPr>
        <w:pStyle w:val="9"/>
        <w:keepNext w:val="0"/>
        <w:keepLines w:val="0"/>
        <w:pageBreakBefore w:val="0"/>
        <w:wordWrap/>
        <w:overflowPunct/>
        <w:topLinePunct w:val="0"/>
        <w:bidi w:val="0"/>
        <w:spacing w:line="560" w:lineRule="exact"/>
        <w:ind w:firstLine="0" w:firstLineChars="0"/>
        <w:jc w:val="both"/>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both"/>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both"/>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第一部分</w:t>
      </w:r>
    </w:p>
    <w:p>
      <w:pPr>
        <w:pStyle w:val="9"/>
        <w:keepNext w:val="0"/>
        <w:keepLines w:val="0"/>
        <w:pageBreakBefore w:val="0"/>
        <w:wordWrap/>
        <w:overflowPunct/>
        <w:topLinePunct w:val="0"/>
        <w:bidi w:val="0"/>
        <w:spacing w:line="560" w:lineRule="exact"/>
        <w:ind w:firstLine="0" w:firstLineChars="0"/>
        <w:jc w:val="center"/>
        <w:rPr>
          <w:rFonts w:hint="eastAsia" w:ascii="仿宋" w:hAnsi="仿宋" w:eastAsia="仿宋" w:cs="仿宋"/>
          <w:kern w:val="2"/>
          <w:sz w:val="32"/>
          <w:szCs w:val="32"/>
          <w:lang w:val="en-US" w:eastAsia="zh-CN" w:bidi="ar-SA"/>
        </w:rPr>
      </w:pPr>
      <w:r>
        <w:rPr>
          <w:rFonts w:hint="eastAsia" w:ascii="仿宋" w:hAnsi="仿宋" w:eastAsia="仿宋" w:cs="仿宋"/>
          <w:b/>
          <w:bCs w:val="0"/>
          <w:sz w:val="32"/>
          <w:szCs w:val="32"/>
          <w:lang w:val="en-US" w:eastAsia="zh-CN"/>
        </w:rPr>
        <w:t>三门峡经济开发区政务服务部概况</w:t>
      </w:r>
    </w:p>
    <w:p>
      <w:pPr>
        <w:pStyle w:val="9"/>
        <w:keepNext w:val="0"/>
        <w:keepLines w:val="0"/>
        <w:pageBreakBefore w:val="0"/>
        <w:numPr>
          <w:ilvl w:val="0"/>
          <w:numId w:val="2"/>
        </w:numPr>
        <w:wordWrap/>
        <w:overflowPunct/>
        <w:topLinePunct w:val="0"/>
        <w:bidi w:val="0"/>
        <w:spacing w:line="560" w:lineRule="exact"/>
        <w:ind w:firstLine="643" w:firstLineChars="200"/>
        <w:jc w:val="left"/>
        <w:rPr>
          <w:rFonts w:hint="eastAsia" w:ascii="仿宋" w:hAnsi="仿宋" w:eastAsia="仿宋" w:cs="仿宋"/>
          <w:b/>
          <w:bCs/>
          <w:kern w:val="2"/>
          <w:sz w:val="32"/>
          <w:szCs w:val="32"/>
          <w:lang w:val="en-US" w:eastAsia="zh-CN" w:bidi="ar-SA"/>
        </w:rPr>
      </w:pPr>
      <w:r>
        <w:rPr>
          <w:rFonts w:hint="eastAsia" w:ascii="仿宋" w:hAnsi="仿宋" w:eastAsia="仿宋" w:cs="仿宋"/>
          <w:b/>
          <w:bCs/>
          <w:sz w:val="32"/>
          <w:szCs w:val="32"/>
          <w:lang w:val="en-US" w:eastAsia="zh-CN"/>
        </w:rPr>
        <w:t>三门峡经济开发区政务服务部</w:t>
      </w:r>
      <w:r>
        <w:rPr>
          <w:rFonts w:hint="eastAsia" w:ascii="仿宋" w:hAnsi="仿宋" w:eastAsia="仿宋" w:cs="仿宋"/>
          <w:b/>
          <w:bCs/>
          <w:kern w:val="2"/>
          <w:sz w:val="32"/>
          <w:szCs w:val="32"/>
          <w:lang w:val="en-US" w:eastAsia="zh-CN" w:bidi="ar-SA"/>
        </w:rPr>
        <w:t>主要职责</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val="0"/>
          <w:bCs w:val="0"/>
          <w:sz w:val="32"/>
          <w:szCs w:val="32"/>
          <w:lang w:val="en-US" w:eastAsia="zh-CN"/>
        </w:rPr>
        <w:t>本部门主要职责是：政务服务部主要负责开发区行政审批服务工作，集中办理开发区管委会权限范围内行政审批和项目服务；依托三门峡市大数据局在开发区设立的网上政务服务平台，加快数据共享，构建“一站服务、一网通办”审批服务，实现“办事不出区”；以“专职服务”为突破口，设立“服务专员”制度，确保投资审批、项目落地等业务手续办理全程跟踪式服务。</w:t>
      </w:r>
    </w:p>
    <w:p>
      <w:pPr>
        <w:pStyle w:val="9"/>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机构设置</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根据河南三门峡经济开发区推进体制机制改革创新工作领导小组关于印发《三门峡经济开发区管理委员会（党工委）、集团公司岗位选聘方案》，下设综合管理科，中心运行科，项目服务科3个科室。</w:t>
      </w:r>
    </w:p>
    <w:p>
      <w:pPr>
        <w:pStyle w:val="9"/>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三门峡经济开发区政务服务部预算单位构成情况</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bCs/>
          <w:spacing w:val="11"/>
          <w:sz w:val="32"/>
          <w:szCs w:val="32"/>
        </w:rPr>
      </w:pPr>
      <w:r>
        <w:rPr>
          <w:rFonts w:hint="eastAsia" w:ascii="仿宋" w:hAnsi="仿宋" w:eastAsia="仿宋" w:cs="仿宋"/>
          <w:b w:val="0"/>
          <w:bCs w:val="0"/>
          <w:sz w:val="32"/>
          <w:szCs w:val="32"/>
          <w:lang w:val="en-US" w:eastAsia="zh-CN"/>
        </w:rPr>
        <w:t>根据部门预算管理有关规定，本预算为汇总预算。政务服务部只有机关本级单位无二级预算单位。</w:t>
      </w:r>
    </w:p>
    <w:p>
      <w:pPr>
        <w:pStyle w:val="2"/>
        <w:keepNext w:val="0"/>
        <w:keepLines w:val="0"/>
        <w:pageBreakBefore w:val="0"/>
        <w:wordWrap/>
        <w:overflowPunct/>
        <w:topLinePunct w:val="0"/>
        <w:bidi w:val="0"/>
        <w:spacing w:before="259" w:line="560" w:lineRule="exact"/>
        <w:jc w:val="center"/>
        <w:rPr>
          <w:rFonts w:hint="eastAsia" w:ascii="仿宋" w:hAnsi="仿宋" w:eastAsia="仿宋" w:cs="仿宋"/>
          <w:b/>
          <w:bCs/>
          <w:spacing w:val="11"/>
          <w:sz w:val="32"/>
          <w:szCs w:val="32"/>
        </w:rPr>
      </w:pPr>
    </w:p>
    <w:p>
      <w:pPr>
        <w:pStyle w:val="2"/>
        <w:keepNext w:val="0"/>
        <w:keepLines w:val="0"/>
        <w:pageBreakBefore w:val="0"/>
        <w:wordWrap/>
        <w:overflowPunct/>
        <w:topLinePunct w:val="0"/>
        <w:bidi w:val="0"/>
        <w:spacing w:before="259" w:line="560" w:lineRule="exact"/>
        <w:jc w:val="center"/>
        <w:rPr>
          <w:rFonts w:hint="eastAsia" w:ascii="仿宋" w:hAnsi="仿宋" w:eastAsia="仿宋" w:cs="仿宋"/>
          <w:b/>
          <w:bCs/>
          <w:spacing w:val="11"/>
          <w:sz w:val="32"/>
          <w:szCs w:val="32"/>
        </w:rPr>
      </w:pPr>
    </w:p>
    <w:p>
      <w:pPr>
        <w:pStyle w:val="2"/>
        <w:keepNext w:val="0"/>
        <w:keepLines w:val="0"/>
        <w:pageBreakBefore w:val="0"/>
        <w:wordWrap/>
        <w:overflowPunct/>
        <w:topLinePunct w:val="0"/>
        <w:bidi w:val="0"/>
        <w:spacing w:before="259" w:line="560" w:lineRule="exact"/>
        <w:jc w:val="center"/>
        <w:rPr>
          <w:rFonts w:hint="eastAsia" w:ascii="仿宋" w:hAnsi="仿宋" w:eastAsia="仿宋" w:cs="仿宋"/>
          <w:b/>
          <w:bCs/>
          <w:spacing w:val="11"/>
          <w:sz w:val="32"/>
          <w:szCs w:val="32"/>
        </w:rPr>
      </w:pPr>
    </w:p>
    <w:p>
      <w:pPr>
        <w:pStyle w:val="5"/>
        <w:keepNext w:val="0"/>
        <w:keepLines w:val="0"/>
        <w:pageBreakBefore w:val="0"/>
        <w:wordWrap/>
        <w:overflowPunct/>
        <w:topLinePunct w:val="0"/>
        <w:bidi w:val="0"/>
        <w:spacing w:line="560" w:lineRule="exact"/>
        <w:ind w:left="0" w:leftChars="0" w:firstLine="0" w:firstLineChars="0"/>
        <w:rPr>
          <w:rFonts w:hint="eastAsia" w:ascii="仿宋" w:hAnsi="仿宋" w:eastAsia="仿宋" w:cs="仿宋"/>
          <w:sz w:val="32"/>
          <w:szCs w:val="32"/>
        </w:rPr>
        <w:sectPr>
          <w:footerReference r:id="rId5" w:type="default"/>
          <w:pgSz w:w="11920" w:h="16880"/>
          <w:pgMar w:top="1434" w:right="1788" w:bottom="1727" w:left="1788" w:header="0" w:footer="1546" w:gutter="0"/>
          <w:cols w:space="720" w:num="1"/>
        </w:sectPr>
      </w:pPr>
    </w:p>
    <w:p>
      <w:pPr>
        <w:pStyle w:val="2"/>
        <w:keepNext w:val="0"/>
        <w:keepLines w:val="0"/>
        <w:pageBreakBefore w:val="0"/>
        <w:widowControl/>
        <w:kinsoku w:val="0"/>
        <w:wordWrap/>
        <w:overflowPunct/>
        <w:topLinePunct w:val="0"/>
        <w:autoSpaceDE w:val="0"/>
        <w:autoSpaceDN w:val="0"/>
        <w:bidi w:val="0"/>
        <w:adjustRightInd w:val="0"/>
        <w:snapToGrid w:val="0"/>
        <w:spacing w:before="259" w:line="560" w:lineRule="exact"/>
        <w:jc w:val="center"/>
        <w:textAlignment w:val="baseline"/>
        <w:rPr>
          <w:rFonts w:hint="eastAsia" w:ascii="仿宋" w:hAnsi="仿宋" w:eastAsia="仿宋" w:cs="仿宋"/>
          <w:sz w:val="32"/>
          <w:szCs w:val="32"/>
        </w:rPr>
      </w:pPr>
      <w:r>
        <w:rPr>
          <w:rFonts w:hint="eastAsia" w:ascii="仿宋" w:hAnsi="仿宋" w:eastAsia="仿宋" w:cs="仿宋"/>
          <w:b/>
          <w:bCs/>
          <w:spacing w:val="11"/>
          <w:sz w:val="32"/>
          <w:szCs w:val="32"/>
        </w:rPr>
        <w:t>第二部分</w:t>
      </w:r>
    </w:p>
    <w:p>
      <w:pPr>
        <w:keepNext w:val="0"/>
        <w:keepLines w:val="0"/>
        <w:pageBreakBefore w:val="0"/>
        <w:widowControl/>
        <w:kinsoku w:val="0"/>
        <w:wordWrap/>
        <w:overflowPunct/>
        <w:topLinePunct w:val="0"/>
        <w:autoSpaceDE w:val="0"/>
        <w:autoSpaceDN w:val="0"/>
        <w:bidi w:val="0"/>
        <w:adjustRightInd w:val="0"/>
        <w:snapToGrid w:val="0"/>
        <w:spacing w:before="209" w:line="560" w:lineRule="exact"/>
        <w:jc w:val="center"/>
        <w:textAlignment w:val="baseline"/>
        <w:rPr>
          <w:rFonts w:hint="eastAsia" w:ascii="仿宋" w:hAnsi="仿宋" w:eastAsia="仿宋" w:cs="仿宋"/>
          <w:b/>
          <w:bCs/>
          <w:spacing w:val="10"/>
          <w:sz w:val="32"/>
          <w:szCs w:val="32"/>
        </w:rPr>
      </w:pPr>
      <w:r>
        <w:rPr>
          <w:rFonts w:hint="eastAsia" w:ascii="仿宋" w:hAnsi="仿宋" w:eastAsia="仿宋" w:cs="仿宋"/>
          <w:b/>
          <w:bCs w:val="0"/>
          <w:snapToGrid w:val="0"/>
          <w:color w:val="000000"/>
          <w:kern w:val="0"/>
          <w:sz w:val="32"/>
          <w:szCs w:val="32"/>
          <w:lang w:val="en-US" w:eastAsia="zh-CN" w:bidi="ar-SA"/>
        </w:rPr>
        <w:t>三门峡经济开发区政务服务部2024年部门预算情况说明</w:t>
      </w:r>
    </w:p>
    <w:p>
      <w:pPr>
        <w:pStyle w:val="2"/>
        <w:keepNext w:val="0"/>
        <w:keepLines w:val="0"/>
        <w:pageBreakBefore w:val="0"/>
        <w:widowControl/>
        <w:kinsoku w:val="0"/>
        <w:wordWrap/>
        <w:overflowPunct/>
        <w:topLinePunct w:val="0"/>
        <w:autoSpaceDE w:val="0"/>
        <w:autoSpaceDN w:val="0"/>
        <w:bidi w:val="0"/>
        <w:adjustRightInd w:val="0"/>
        <w:snapToGrid w:val="0"/>
        <w:spacing w:before="1" w:line="560" w:lineRule="exact"/>
        <w:ind w:firstLine="683" w:firstLineChars="200"/>
        <w:textAlignment w:val="baseline"/>
        <w:rPr>
          <w:rFonts w:hint="eastAsia" w:ascii="仿宋" w:hAnsi="仿宋" w:eastAsia="仿宋" w:cs="仿宋"/>
          <w:sz w:val="32"/>
          <w:szCs w:val="32"/>
        </w:rPr>
      </w:pPr>
      <w:r>
        <w:rPr>
          <w:rFonts w:hint="eastAsia" w:ascii="仿宋" w:hAnsi="仿宋" w:eastAsia="仿宋" w:cs="仿宋"/>
          <w:b/>
          <w:bCs/>
          <w:spacing w:val="10"/>
          <w:sz w:val="32"/>
          <w:szCs w:val="32"/>
        </w:rPr>
        <w:t>一、收入支出预算总体情况说明</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三门峡经济开发区政务服务部2024年收入总计358.10万元，支出总计358.10万元，与2023年预算相比，收入增加72.88万元，增长1.26%。主要原因是：项目增加。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643" w:leftChars="0"/>
        <w:textAlignment w:val="baseline"/>
        <w:outlineLvl w:val="0"/>
        <w:rPr>
          <w:rFonts w:hint="eastAsia" w:ascii="仿宋" w:hAnsi="仿宋" w:eastAsia="仿宋" w:cs="仿宋"/>
          <w:b/>
          <w:bCs/>
          <w:spacing w:val="9"/>
          <w:sz w:val="32"/>
          <w:szCs w:val="32"/>
        </w:rPr>
      </w:pPr>
      <w:r>
        <w:rPr>
          <w:rFonts w:hint="eastAsia" w:ascii="仿宋" w:hAnsi="仿宋" w:eastAsia="仿宋" w:cs="仿宋"/>
          <w:b/>
          <w:bCs/>
          <w:spacing w:val="9"/>
          <w:sz w:val="32"/>
          <w:szCs w:val="32"/>
          <w:lang w:eastAsia="zh-CN"/>
        </w:rPr>
        <w:t>二、</w:t>
      </w:r>
      <w:r>
        <w:rPr>
          <w:rFonts w:hint="eastAsia" w:ascii="仿宋" w:hAnsi="仿宋" w:eastAsia="仿宋" w:cs="仿宋"/>
          <w:b/>
          <w:bCs/>
          <w:spacing w:val="9"/>
          <w:sz w:val="32"/>
          <w:szCs w:val="32"/>
        </w:rPr>
        <w:t>收入预算总体情况说明</w:t>
      </w:r>
    </w:p>
    <w:p>
      <w:pPr>
        <w:pStyle w:val="2"/>
        <w:keepNext w:val="0"/>
        <w:keepLines w:val="0"/>
        <w:pageBreakBefore w:val="0"/>
        <w:widowControl/>
        <w:kinsoku w:val="0"/>
        <w:wordWrap/>
        <w:overflowPunct/>
        <w:topLinePunct w:val="0"/>
        <w:autoSpaceDE w:val="0"/>
        <w:autoSpaceDN w:val="0"/>
        <w:bidi w:val="0"/>
        <w:adjustRightInd w:val="0"/>
        <w:snapToGrid w:val="0"/>
        <w:spacing w:before="215" w:line="560" w:lineRule="exact"/>
        <w:ind w:left="113" w:firstLine="640" w:firstLineChars="200"/>
        <w:jc w:val="both"/>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三门峡经济开发区政务服务部2024年收入合计358.10万元</w:t>
      </w:r>
      <w:r>
        <w:rPr>
          <w:rFonts w:hint="eastAsia" w:cs="仿宋"/>
          <w:b w:val="0"/>
          <w:bCs w:val="0"/>
          <w:snapToGrid w:val="0"/>
          <w:color w:val="000000"/>
          <w:kern w:val="0"/>
          <w:sz w:val="32"/>
          <w:szCs w:val="32"/>
          <w:lang w:val="en-US" w:eastAsia="zh-CN" w:bidi="ar-SA"/>
        </w:rPr>
        <w:t>，</w:t>
      </w:r>
      <w:r>
        <w:rPr>
          <w:rFonts w:hint="eastAsia" w:ascii="仿宋" w:hAnsi="仿宋" w:eastAsia="仿宋" w:cs="仿宋"/>
          <w:b w:val="0"/>
          <w:bCs w:val="0"/>
          <w:snapToGrid w:val="0"/>
          <w:color w:val="000000"/>
          <w:kern w:val="0"/>
          <w:sz w:val="32"/>
          <w:szCs w:val="32"/>
          <w:lang w:val="en-US" w:eastAsia="zh-CN" w:bidi="ar-SA"/>
        </w:rPr>
        <w:t>其中：一般公共预算收入358.10万元；政府性基金预算收入0.00万元；国有资本经营预算收入0.00万元，专户管理的教育收费0.00万元，专户管理的教育收费结余(结转)0.00万元，</w:t>
      </w:r>
      <w:r>
        <w:rPr>
          <w:rFonts w:hint="eastAsia" w:ascii="仿宋" w:hAnsi="仿宋" w:eastAsia="仿宋" w:cs="仿宋"/>
          <w:spacing w:val="14"/>
          <w:sz w:val="32"/>
          <w:szCs w:val="32"/>
        </w:rPr>
        <w:t>部门结</w:t>
      </w:r>
      <w:r>
        <w:rPr>
          <w:rFonts w:hint="eastAsia" w:ascii="仿宋" w:hAnsi="仿宋" w:eastAsia="仿宋" w:cs="仿宋"/>
          <w:spacing w:val="-1"/>
          <w:sz w:val="32"/>
          <w:szCs w:val="32"/>
        </w:rPr>
        <w:t>转</w:t>
      </w:r>
      <w:r>
        <w:rPr>
          <w:rFonts w:hint="eastAsia" w:ascii="仿宋" w:hAnsi="仿宋" w:eastAsia="仿宋" w:cs="仿宋"/>
          <w:spacing w:val="-1"/>
          <w:sz w:val="32"/>
          <w:szCs w:val="32"/>
          <w:lang w:val="en-US" w:eastAsia="zh-CN"/>
        </w:rPr>
        <w:t>0</w:t>
      </w:r>
      <w:r>
        <w:rPr>
          <w:rFonts w:hint="eastAsia" w:ascii="仿宋" w:hAnsi="仿宋" w:eastAsia="仿宋" w:cs="仿宋"/>
          <w:spacing w:val="-1"/>
          <w:sz w:val="32"/>
          <w:szCs w:val="32"/>
        </w:rPr>
        <w:t>万元。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75" w:firstLineChars="200"/>
        <w:textAlignment w:val="baseline"/>
        <w:outlineLvl w:val="0"/>
        <w:rPr>
          <w:rFonts w:hint="eastAsia" w:ascii="仿宋" w:hAnsi="仿宋" w:eastAsia="仿宋" w:cs="仿宋"/>
          <w:sz w:val="32"/>
          <w:szCs w:val="32"/>
        </w:rPr>
      </w:pPr>
      <w:r>
        <w:rPr>
          <w:rFonts w:hint="eastAsia" w:ascii="仿宋" w:hAnsi="仿宋" w:eastAsia="仿宋" w:cs="仿宋"/>
          <w:b/>
          <w:bCs/>
          <w:spacing w:val="8"/>
          <w:sz w:val="32"/>
          <w:szCs w:val="32"/>
        </w:rPr>
        <w:t>三、支出预算总体情况说明</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三门峡经济开发区政务服务部2024年支出合计358.10万元，其中：基本支出185.70万元，占52%;项目支出172.40万元，占48%。</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7" w:firstLineChars="200"/>
        <w:textAlignment w:val="baseline"/>
        <w:outlineLvl w:val="0"/>
        <w:rPr>
          <w:rFonts w:hint="eastAsia" w:ascii="仿宋" w:hAnsi="仿宋" w:eastAsia="仿宋" w:cs="仿宋"/>
          <w:sz w:val="32"/>
          <w:szCs w:val="32"/>
        </w:rPr>
      </w:pPr>
      <w:r>
        <w:rPr>
          <w:rFonts w:hint="eastAsia" w:ascii="仿宋" w:hAnsi="仿宋" w:eastAsia="仿宋" w:cs="仿宋"/>
          <w:b/>
          <w:bCs/>
          <w:spacing w:val="1"/>
          <w:sz w:val="32"/>
          <w:szCs w:val="32"/>
        </w:rPr>
        <w:t>四、财政拨款收入支出预算总体情况说明</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三门峡经济开发区政务服务部2024年一般公共预算收支预算358.10万元，政府性基金收支预算0万元，国有资本经营预算收支预算0万元。与2023年相比，一般公共预算收支预算增加72.88万元，增长1.26%,主要原因是：项目增长;政府性基金收支预算增加0万元，增长0%;国有资本经营预算收支预算增加0万元，增长0%。</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7" w:firstLineChars="200"/>
        <w:textAlignment w:val="baseline"/>
        <w:outlineLvl w:val="0"/>
        <w:rPr>
          <w:rFonts w:hint="eastAsia" w:ascii="仿宋" w:hAnsi="仿宋" w:eastAsia="仿宋" w:cs="仿宋"/>
          <w:b/>
          <w:bCs/>
          <w:spacing w:val="1"/>
          <w:sz w:val="32"/>
          <w:szCs w:val="32"/>
        </w:rPr>
      </w:pPr>
      <w:r>
        <w:rPr>
          <w:rFonts w:hint="eastAsia" w:ascii="仿宋" w:hAnsi="仿宋" w:eastAsia="仿宋" w:cs="仿宋"/>
          <w:b/>
          <w:bCs/>
          <w:spacing w:val="1"/>
          <w:sz w:val="32"/>
          <w:szCs w:val="32"/>
        </w:rPr>
        <w:t>五、一般公共预算支出预算情况说明</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三门峡经济开发区政务服务部2024年一般公共预算支出年初预算为358.10万元。其中基本支出185.70万元，占52%;项目支出172.40万元，占48%。</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7" w:firstLineChars="200"/>
        <w:textAlignment w:val="baseline"/>
        <w:outlineLvl w:val="0"/>
        <w:rPr>
          <w:rFonts w:hint="eastAsia" w:ascii="仿宋" w:hAnsi="仿宋" w:eastAsia="仿宋" w:cs="仿宋"/>
          <w:b/>
          <w:bCs/>
          <w:spacing w:val="1"/>
          <w:sz w:val="32"/>
          <w:szCs w:val="32"/>
        </w:rPr>
      </w:pPr>
      <w:r>
        <w:rPr>
          <w:rFonts w:hint="eastAsia" w:ascii="仿宋" w:hAnsi="仿宋" w:eastAsia="仿宋" w:cs="仿宋"/>
          <w:b/>
          <w:bCs/>
          <w:spacing w:val="1"/>
          <w:sz w:val="32"/>
          <w:szCs w:val="32"/>
        </w:rPr>
        <w:t>六、一般公共预算基本支出预算情况说明</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三门峡经济开发区政务服务部2024年一般公共预算基本支出年初预算为185.70万元，其中：人员经费支出174.00万元，占94%;公用经费支出11.70万元</w:t>
      </w:r>
      <w:r>
        <w:rPr>
          <w:rFonts w:hint="eastAsia" w:cs="仿宋"/>
          <w:b w:val="0"/>
          <w:bCs w:val="0"/>
          <w:snapToGrid w:val="0"/>
          <w:color w:val="000000"/>
          <w:kern w:val="0"/>
          <w:sz w:val="32"/>
          <w:szCs w:val="32"/>
          <w:lang w:val="en-US" w:eastAsia="zh-CN" w:bidi="ar-SA"/>
        </w:rPr>
        <w:t>，</w:t>
      </w:r>
      <w:r>
        <w:rPr>
          <w:rFonts w:hint="eastAsia" w:ascii="仿宋" w:hAnsi="仿宋" w:eastAsia="仿宋" w:cs="仿宋"/>
          <w:b w:val="0"/>
          <w:bCs w:val="0"/>
          <w:snapToGrid w:val="0"/>
          <w:color w:val="000000"/>
          <w:kern w:val="0"/>
          <w:sz w:val="32"/>
          <w:szCs w:val="32"/>
          <w:lang w:val="en-US" w:eastAsia="zh-CN" w:bidi="ar-SA"/>
        </w:rPr>
        <w:t>占6%。</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7" w:firstLineChars="200"/>
        <w:textAlignment w:val="baseline"/>
        <w:outlineLvl w:val="0"/>
        <w:rPr>
          <w:rFonts w:hint="eastAsia" w:ascii="仿宋" w:hAnsi="仿宋" w:eastAsia="仿宋" w:cs="仿宋"/>
          <w:b/>
          <w:bCs/>
          <w:spacing w:val="1"/>
          <w:sz w:val="32"/>
          <w:szCs w:val="32"/>
        </w:rPr>
      </w:pPr>
      <w:r>
        <w:rPr>
          <w:rFonts w:hint="eastAsia" w:ascii="仿宋" w:hAnsi="仿宋" w:eastAsia="仿宋" w:cs="仿宋"/>
          <w:b/>
          <w:bCs/>
          <w:spacing w:val="1"/>
          <w:sz w:val="32"/>
          <w:szCs w:val="32"/>
        </w:rPr>
        <w:t>七、支出预算经济分类情况说明</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按照《财政部关于印发&lt;支出经济分类科目改革方案&gt;的通知》(财预〔2017〕98号)要求，从2018年起全面实施支出经济分类科目改革，根据政府预算管理和部门预算管理的不同特点，分设部门预算支出经济分类科目和政府预算支出经济分类科目，两套科目之间保持对应关系。为适应改革要求，我单位《支出经济分类汇总表》按两套经济分类科目分别反映不同资金来源的全部预算支出。</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7" w:firstLineChars="200"/>
        <w:textAlignment w:val="baseline"/>
        <w:outlineLvl w:val="0"/>
        <w:rPr>
          <w:rFonts w:hint="eastAsia" w:ascii="仿宋" w:hAnsi="仿宋" w:eastAsia="仿宋" w:cs="仿宋"/>
          <w:b/>
          <w:bCs/>
          <w:spacing w:val="1"/>
          <w:sz w:val="32"/>
          <w:szCs w:val="32"/>
        </w:rPr>
      </w:pPr>
      <w:r>
        <w:rPr>
          <w:rFonts w:hint="eastAsia" w:ascii="仿宋" w:hAnsi="仿宋" w:eastAsia="仿宋" w:cs="仿宋"/>
          <w:b/>
          <w:bCs/>
          <w:spacing w:val="1"/>
          <w:sz w:val="32"/>
          <w:szCs w:val="32"/>
        </w:rPr>
        <w:t>八、“三公”经费支出预算情况说明</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三门峡经济开发区政务服务部2024年“三公”经费预算为0.13万元。2024年“三公”经费支出预算数比2023年减少0.87万元，减少87%。</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具体支出情况如下：</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b w:val="0"/>
          <w:bCs w:val="0"/>
          <w:snapToGrid w:val="0"/>
          <w:color w:val="000000"/>
          <w:kern w:val="0"/>
          <w:sz w:val="32"/>
          <w:szCs w:val="32"/>
          <w:lang w:val="en-US" w:eastAsia="zh-CN" w:bidi="ar-SA"/>
        </w:rPr>
        <w:sectPr>
          <w:footerReference r:id="rId6" w:type="default"/>
          <w:pgSz w:w="11920" w:h="16880"/>
          <w:pgMar w:top="1434" w:right="1635" w:bottom="1701" w:left="1788" w:header="0" w:footer="1572" w:gutter="0"/>
          <w:cols w:space="720" w:num="1"/>
        </w:sectPr>
      </w:pPr>
      <w:r>
        <w:rPr>
          <w:rFonts w:hint="eastAsia" w:ascii="仿宋" w:hAnsi="仿宋" w:eastAsia="仿宋" w:cs="仿宋"/>
          <w:b w:val="0"/>
          <w:bCs w:val="0"/>
          <w:snapToGrid w:val="0"/>
          <w:color w:val="000000"/>
          <w:kern w:val="0"/>
          <w:sz w:val="32"/>
          <w:szCs w:val="32"/>
          <w:lang w:val="en-US" w:eastAsia="zh-CN" w:bidi="ar-SA"/>
        </w:rPr>
        <w:t>(一)因公出国(境)费0万元，主要用于无此项开支。预算</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数比2023年增加0万元，增长0%。主要原因是：无此项开支。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(二)公务接待费0.13万元，主要用于招待客商预算数比2023减少0.87万元，减少87%。主要原因是：</w:t>
      </w:r>
      <w:r>
        <w:rPr>
          <w:rFonts w:hint="eastAsia" w:cs="仿宋"/>
          <w:b w:val="0"/>
          <w:bCs w:val="0"/>
          <w:snapToGrid w:val="0"/>
          <w:color w:val="000000"/>
          <w:kern w:val="0"/>
          <w:sz w:val="32"/>
          <w:szCs w:val="32"/>
          <w:highlight w:val="none"/>
          <w:lang w:val="en-US" w:eastAsia="zh-CN" w:bidi="ar-SA"/>
        </w:rPr>
        <w:t>厉行节约。</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三)公务用车购置及运行费0万元，其中，公务用车购置费0万元，主要用于无此项开，比2023年增加0万元，增长0%,主要原因是：无此项开;公务用车运行维护费0万元，主要用于无此项开，比2023年增加0万元，增长0%,主要原因是：无此项开支。</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7" w:firstLineChars="200"/>
        <w:textAlignment w:val="baseline"/>
        <w:outlineLvl w:val="0"/>
        <w:rPr>
          <w:rFonts w:hint="eastAsia" w:ascii="仿宋" w:hAnsi="仿宋" w:eastAsia="仿宋" w:cs="仿宋"/>
          <w:b/>
          <w:bCs/>
          <w:spacing w:val="1"/>
          <w:sz w:val="32"/>
          <w:szCs w:val="32"/>
        </w:rPr>
      </w:pPr>
      <w:r>
        <w:rPr>
          <w:rFonts w:hint="eastAsia" w:ascii="仿宋" w:hAnsi="仿宋" w:eastAsia="仿宋" w:cs="仿宋"/>
          <w:b/>
          <w:bCs/>
          <w:spacing w:val="1"/>
          <w:sz w:val="32"/>
          <w:szCs w:val="32"/>
        </w:rPr>
        <w:t>九、政府性基金预算支出预算情况说明</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三门峡经济开发区政务服务部2024年政府性基金预算支出0万元，我部门本年无使用政府性基金预算拨款安排的支出。</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7" w:firstLineChars="200"/>
        <w:textAlignment w:val="baseline"/>
        <w:outlineLvl w:val="0"/>
        <w:rPr>
          <w:rFonts w:hint="eastAsia" w:ascii="仿宋" w:hAnsi="仿宋" w:eastAsia="仿宋" w:cs="仿宋"/>
          <w:b/>
          <w:bCs/>
          <w:spacing w:val="1"/>
          <w:sz w:val="32"/>
          <w:szCs w:val="32"/>
          <w:lang w:val="en-US" w:eastAsia="en-US"/>
        </w:rPr>
      </w:pPr>
      <w:r>
        <w:rPr>
          <w:rFonts w:hint="eastAsia" w:ascii="仿宋" w:hAnsi="仿宋" w:eastAsia="仿宋" w:cs="仿宋"/>
          <w:b/>
          <w:bCs/>
          <w:spacing w:val="1"/>
          <w:sz w:val="32"/>
          <w:szCs w:val="32"/>
          <w:lang w:val="en-US" w:eastAsia="en-US"/>
        </w:rPr>
        <w:t>十、其他重要事项的情况说明</w:t>
      </w:r>
    </w:p>
    <w:p>
      <w:pPr>
        <w:keepNext w:val="0"/>
        <w:keepLines w:val="0"/>
        <w:pageBreakBefore w:val="0"/>
        <w:widowControl/>
        <w:kinsoku w:val="0"/>
        <w:wordWrap/>
        <w:overflowPunct/>
        <w:topLinePunct w:val="0"/>
        <w:autoSpaceDE w:val="0"/>
        <w:autoSpaceDN w:val="0"/>
        <w:bidi w:val="0"/>
        <w:adjustRightInd w:val="0"/>
        <w:snapToGrid w:val="0"/>
        <w:spacing w:before="202" w:line="560" w:lineRule="exact"/>
        <w:ind w:left="752"/>
        <w:textAlignment w:val="baseline"/>
        <w:rPr>
          <w:rFonts w:hint="eastAsia" w:ascii="仿宋" w:hAnsi="仿宋" w:eastAsia="仿宋" w:cs="仿宋"/>
          <w:sz w:val="32"/>
          <w:szCs w:val="32"/>
        </w:rPr>
      </w:pPr>
      <w:r>
        <w:rPr>
          <w:rFonts w:hint="eastAsia" w:ascii="仿宋" w:hAnsi="仿宋" w:eastAsia="仿宋" w:cs="仿宋"/>
          <w:spacing w:val="-1"/>
          <w:sz w:val="32"/>
          <w:szCs w:val="32"/>
        </w:rPr>
        <w:t>(一)机关运行经费支出情况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三门峡经济开发区政务服务部2024年机关运行经费支出预算8.4万元，主要保障机构正常运转及正常履职需要，比2023年减少3万元，减少36%,主要原因：人员减少。</w:t>
      </w:r>
    </w:p>
    <w:p>
      <w:pPr>
        <w:keepNext w:val="0"/>
        <w:keepLines w:val="0"/>
        <w:pageBreakBefore w:val="0"/>
        <w:widowControl/>
        <w:kinsoku w:val="0"/>
        <w:wordWrap/>
        <w:overflowPunct/>
        <w:topLinePunct w:val="0"/>
        <w:autoSpaceDE w:val="0"/>
        <w:autoSpaceDN w:val="0"/>
        <w:bidi w:val="0"/>
        <w:adjustRightInd w:val="0"/>
        <w:snapToGrid w:val="0"/>
        <w:spacing w:before="213" w:line="560" w:lineRule="exact"/>
        <w:ind w:left="756"/>
        <w:textAlignment w:val="baseline"/>
        <w:rPr>
          <w:rFonts w:hint="eastAsia" w:ascii="仿宋" w:hAnsi="仿宋" w:eastAsia="仿宋" w:cs="仿宋"/>
          <w:sz w:val="32"/>
          <w:szCs w:val="32"/>
        </w:rPr>
      </w:pPr>
      <w:r>
        <w:rPr>
          <w:rFonts w:hint="eastAsia" w:ascii="仿宋" w:hAnsi="仿宋" w:eastAsia="仿宋" w:cs="仿宋"/>
          <w:b/>
          <w:bCs/>
          <w:spacing w:val="-6"/>
          <w:sz w:val="32"/>
          <w:szCs w:val="32"/>
        </w:rPr>
        <w:t>(二)政府采购支出情况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2024年政府采购预算安排0万元，其中：政府采购货物预算0万元、政府采购工程预算0万元、政府采购服务预算0万元。</w:t>
      </w:r>
    </w:p>
    <w:p>
      <w:pPr>
        <w:keepNext w:val="0"/>
        <w:keepLines w:val="0"/>
        <w:pageBreakBefore w:val="0"/>
        <w:widowControl/>
        <w:kinsoku w:val="0"/>
        <w:wordWrap/>
        <w:overflowPunct/>
        <w:topLinePunct w:val="0"/>
        <w:autoSpaceDE w:val="0"/>
        <w:autoSpaceDN w:val="0"/>
        <w:bidi w:val="0"/>
        <w:adjustRightInd w:val="0"/>
        <w:snapToGrid w:val="0"/>
        <w:spacing w:before="210" w:line="560" w:lineRule="exact"/>
        <w:ind w:left="756"/>
        <w:textAlignment w:val="baseline"/>
        <w:rPr>
          <w:rFonts w:hint="eastAsia" w:ascii="仿宋" w:hAnsi="仿宋" w:eastAsia="仿宋" w:cs="仿宋"/>
          <w:sz w:val="32"/>
          <w:szCs w:val="32"/>
        </w:rPr>
      </w:pPr>
      <w:r>
        <w:rPr>
          <w:rFonts w:hint="eastAsia" w:ascii="仿宋" w:hAnsi="仿宋" w:eastAsia="仿宋" w:cs="仿宋"/>
          <w:b/>
          <w:bCs/>
          <w:spacing w:val="-6"/>
          <w:sz w:val="32"/>
          <w:szCs w:val="32"/>
        </w:rPr>
        <w:t>(三)绩效目标设置情况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我部门2024年预算项目均按要求编制了绩效目标，从项目产出、项目效益、满意度等方面设置了绩效目标，综合反映项目预期完成的数量、实效、质量，预期达到的社会经济效益、可持续影响以及服务对象满意度等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762"/>
        <w:textAlignment w:val="baseline"/>
        <w:rPr>
          <w:rFonts w:hint="eastAsia" w:ascii="仿宋" w:hAnsi="仿宋" w:eastAsia="仿宋" w:cs="仿宋"/>
          <w:sz w:val="32"/>
          <w:szCs w:val="32"/>
        </w:rPr>
      </w:pPr>
      <w:r>
        <w:rPr>
          <w:rFonts w:hint="eastAsia" w:ascii="仿宋" w:hAnsi="仿宋" w:eastAsia="仿宋" w:cs="仿宋"/>
          <w:spacing w:val="6"/>
          <w:sz w:val="32"/>
          <w:szCs w:val="32"/>
        </w:rPr>
        <w:t>(四)国有资产占用情况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2023年期末，我部门共有车辆0辆，其中：一般公务用车0辆、一般执法执勤用车0辆、特种专业技术用车0辆，其他用车0辆，其他用车主要是0车0辆；单价50万元以上通用设备0套，单位价值100万元以上专用设备0套。</w:t>
      </w:r>
    </w:p>
    <w:p>
      <w:pPr>
        <w:keepNext w:val="0"/>
        <w:keepLines w:val="0"/>
        <w:pageBreakBefore w:val="0"/>
        <w:widowControl/>
        <w:kinsoku w:val="0"/>
        <w:wordWrap/>
        <w:overflowPunct/>
        <w:topLinePunct w:val="0"/>
        <w:autoSpaceDE w:val="0"/>
        <w:autoSpaceDN w:val="0"/>
        <w:bidi w:val="0"/>
        <w:adjustRightInd w:val="0"/>
        <w:snapToGrid w:val="0"/>
        <w:spacing w:before="210" w:line="560" w:lineRule="exact"/>
        <w:ind w:left="776"/>
        <w:textAlignment w:val="baseline"/>
        <w:rPr>
          <w:rFonts w:hint="eastAsia" w:ascii="仿宋" w:hAnsi="仿宋" w:eastAsia="仿宋" w:cs="仿宋"/>
          <w:sz w:val="32"/>
          <w:szCs w:val="32"/>
        </w:rPr>
      </w:pPr>
      <w:r>
        <w:rPr>
          <w:rFonts w:hint="eastAsia" w:ascii="仿宋" w:hAnsi="仿宋" w:eastAsia="仿宋" w:cs="仿宋"/>
          <w:b/>
          <w:bCs/>
          <w:spacing w:val="4"/>
          <w:sz w:val="32"/>
          <w:szCs w:val="32"/>
        </w:rPr>
        <w:t>(五)专项转移支付项目情况</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b w:val="0"/>
          <w:bCs w:val="0"/>
          <w:snapToGrid w:val="0"/>
          <w:color w:val="000000"/>
          <w:kern w:val="0"/>
          <w:sz w:val="32"/>
          <w:szCs w:val="32"/>
          <w:lang w:val="en-US" w:eastAsia="zh-CN" w:bidi="ar-SA"/>
        </w:rPr>
      </w:pPr>
      <w:r>
        <w:rPr>
          <w:rFonts w:hint="eastAsia" w:ascii="仿宋" w:hAnsi="仿宋" w:eastAsia="仿宋" w:cs="仿宋"/>
          <w:b w:val="0"/>
          <w:bCs w:val="0"/>
          <w:snapToGrid w:val="0"/>
          <w:color w:val="000000"/>
          <w:kern w:val="0"/>
          <w:sz w:val="32"/>
          <w:szCs w:val="32"/>
          <w:lang w:val="en-US" w:eastAsia="zh-CN" w:bidi="ar-SA"/>
        </w:rPr>
        <w:t>三门峡经济开发区政务服务部负责管理的专项转移支付项目共有0项，主要是：我部门本年无负责管理的专项转移支付项目。我单位将按照《预算法》等有关规定，积极做好项目分配前期准备工作，在规定的时间内向财政部门提出资金分配意见，根据有关要求做好项目申报公开等相关工</w:t>
      </w:r>
      <w:bookmarkStart w:id="0" w:name="_GoBack"/>
      <w:bookmarkEnd w:id="0"/>
      <w:r>
        <w:rPr>
          <w:rFonts w:hint="eastAsia" w:ascii="仿宋" w:hAnsi="仿宋" w:eastAsia="仿宋" w:cs="仿宋"/>
          <w:b w:val="0"/>
          <w:bCs w:val="0"/>
          <w:snapToGrid w:val="0"/>
          <w:color w:val="000000"/>
          <w:kern w:val="0"/>
          <w:sz w:val="32"/>
          <w:szCs w:val="32"/>
          <w:lang w:val="en-US" w:eastAsia="zh-CN" w:bidi="ar-SA"/>
        </w:rPr>
        <w:t>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b w:val="0"/>
          <w:bCs w:val="0"/>
          <w:snapToGrid w:val="0"/>
          <w:color w:val="000000"/>
          <w:kern w:val="0"/>
          <w:sz w:val="32"/>
          <w:szCs w:val="32"/>
          <w:lang w:val="en-US" w:eastAsia="zh-CN" w:bidi="ar-SA"/>
        </w:rPr>
        <w:sectPr>
          <w:footerReference r:id="rId7" w:type="default"/>
          <w:pgSz w:w="11920" w:h="16880"/>
          <w:pgMar w:top="1434" w:right="1589" w:bottom="1736" w:left="1788" w:header="0" w:footer="1546" w:gutter="0"/>
          <w:cols w:space="720" w:num="1"/>
        </w:sectPr>
      </w:pPr>
    </w:p>
    <w:p>
      <w:pPr>
        <w:keepNext w:val="0"/>
        <w:keepLines w:val="0"/>
        <w:pageBreakBefore w:val="0"/>
        <w:widowControl/>
        <w:kinsoku w:val="0"/>
        <w:wordWrap/>
        <w:overflowPunct/>
        <w:topLinePunct w:val="0"/>
        <w:autoSpaceDE w:val="0"/>
        <w:autoSpaceDN w:val="0"/>
        <w:bidi w:val="0"/>
        <w:adjustRightInd w:val="0"/>
        <w:snapToGrid w:val="0"/>
        <w:spacing w:before="220" w:line="560" w:lineRule="exact"/>
        <w:jc w:val="center"/>
        <w:textAlignment w:val="baseline"/>
        <w:rPr>
          <w:rFonts w:hint="eastAsia" w:ascii="仿宋" w:hAnsi="仿宋" w:eastAsia="仿宋" w:cs="仿宋"/>
          <w:b/>
          <w:bCs/>
          <w:spacing w:val="10"/>
          <w:sz w:val="32"/>
          <w:szCs w:val="32"/>
        </w:rPr>
      </w:pPr>
      <w:r>
        <w:rPr>
          <w:rFonts w:hint="eastAsia" w:ascii="仿宋" w:hAnsi="仿宋" w:eastAsia="仿宋" w:cs="仿宋"/>
          <w:b/>
          <w:bCs/>
          <w:spacing w:val="10"/>
          <w:sz w:val="32"/>
          <w:szCs w:val="32"/>
        </w:rPr>
        <w:t>第三部分</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textAlignment w:val="baseline"/>
        <w:rPr>
          <w:rFonts w:hint="eastAsia" w:ascii="仿宋" w:hAnsi="仿宋" w:eastAsia="仿宋" w:cs="仿宋"/>
          <w:snapToGrid w:val="0"/>
          <w:color w:val="000000"/>
          <w:spacing w:val="17"/>
          <w:kern w:val="0"/>
          <w:sz w:val="32"/>
          <w:szCs w:val="32"/>
          <w:lang w:val="en-US" w:eastAsia="en-US" w:bidi="ar-SA"/>
        </w:rPr>
      </w:pPr>
      <w:r>
        <w:rPr>
          <w:rFonts w:hint="eastAsia" w:ascii="仿宋" w:hAnsi="仿宋" w:eastAsia="仿宋" w:cs="仿宋"/>
          <w:snapToGrid w:val="0"/>
          <w:color w:val="000000"/>
          <w:spacing w:val="17"/>
          <w:kern w:val="0"/>
          <w:sz w:val="32"/>
          <w:szCs w:val="32"/>
          <w:lang w:val="en-US" w:eastAsia="en-US" w:bidi="ar-SA"/>
        </w:rPr>
        <w:t>名词解释</w:t>
      </w:r>
    </w:p>
    <w:p>
      <w:pPr>
        <w:pStyle w:val="2"/>
        <w:keepNext w:val="0"/>
        <w:keepLines w:val="0"/>
        <w:pageBreakBefore w:val="0"/>
        <w:widowControl/>
        <w:kinsoku w:val="0"/>
        <w:wordWrap/>
        <w:overflowPunct/>
        <w:topLinePunct w:val="0"/>
        <w:autoSpaceDE w:val="0"/>
        <w:autoSpaceDN w:val="0"/>
        <w:bidi w:val="0"/>
        <w:adjustRightInd w:val="0"/>
        <w:snapToGrid w:val="0"/>
        <w:spacing w:before="189" w:line="560" w:lineRule="exact"/>
        <w:ind w:left="141" w:right="34" w:firstLine="620"/>
        <w:textAlignment w:val="baseline"/>
        <w:rPr>
          <w:rFonts w:hint="eastAsia" w:ascii="仿宋" w:hAnsi="仿宋" w:eastAsia="仿宋" w:cs="仿宋"/>
          <w:sz w:val="32"/>
          <w:szCs w:val="32"/>
        </w:rPr>
      </w:pPr>
      <w:r>
        <w:rPr>
          <w:rFonts w:hint="eastAsia" w:ascii="仿宋" w:hAnsi="仿宋" w:eastAsia="仿宋" w:cs="仿宋"/>
          <w:spacing w:val="18"/>
          <w:sz w:val="32"/>
          <w:szCs w:val="32"/>
        </w:rPr>
        <w:t>一、财政拨款收入：是指市级财政当年拨付的资金；</w:t>
      </w:r>
      <w:r>
        <w:rPr>
          <w:rFonts w:hint="eastAsia" w:ascii="仿宋" w:hAnsi="仿宋" w:eastAsia="仿宋" w:cs="仿宋"/>
          <w:spacing w:val="17"/>
          <w:sz w:val="32"/>
          <w:szCs w:val="32"/>
        </w:rPr>
        <w:t>包括一般公共预算拨款、政府性基金预算拨款、国有资本</w:t>
      </w:r>
    </w:p>
    <w:p>
      <w:pPr>
        <w:pStyle w:val="2"/>
        <w:keepNext w:val="0"/>
        <w:keepLines w:val="0"/>
        <w:pageBreakBefore w:val="0"/>
        <w:widowControl/>
        <w:kinsoku w:val="0"/>
        <w:wordWrap/>
        <w:overflowPunct/>
        <w:topLinePunct w:val="0"/>
        <w:autoSpaceDE w:val="0"/>
        <w:autoSpaceDN w:val="0"/>
        <w:bidi w:val="0"/>
        <w:adjustRightInd w:val="0"/>
        <w:snapToGrid w:val="0"/>
        <w:spacing w:before="1" w:line="560" w:lineRule="exact"/>
        <w:ind w:left="141"/>
        <w:textAlignment w:val="baseline"/>
        <w:rPr>
          <w:rFonts w:hint="eastAsia" w:ascii="仿宋" w:hAnsi="仿宋" w:eastAsia="仿宋" w:cs="仿宋"/>
          <w:spacing w:val="-1"/>
          <w:sz w:val="32"/>
          <w:szCs w:val="32"/>
        </w:rPr>
      </w:pPr>
      <w:r>
        <w:rPr>
          <w:rFonts w:hint="eastAsia" w:ascii="仿宋" w:hAnsi="仿宋" w:eastAsia="仿宋" w:cs="仿宋"/>
          <w:spacing w:val="-1"/>
          <w:sz w:val="32"/>
          <w:szCs w:val="32"/>
        </w:rPr>
        <w:t>经营预算拨款。</w:t>
      </w:r>
    </w:p>
    <w:p>
      <w:pPr>
        <w:pStyle w:val="2"/>
        <w:keepNext w:val="0"/>
        <w:keepLines w:val="0"/>
        <w:pageBreakBefore w:val="0"/>
        <w:widowControl/>
        <w:kinsoku w:val="0"/>
        <w:wordWrap/>
        <w:overflowPunct/>
        <w:topLinePunct w:val="0"/>
        <w:autoSpaceDE w:val="0"/>
        <w:autoSpaceDN w:val="0"/>
        <w:bidi w:val="0"/>
        <w:adjustRightInd w:val="0"/>
        <w:snapToGrid w:val="0"/>
        <w:spacing w:before="1" w:line="560" w:lineRule="exact"/>
        <w:ind w:left="141" w:firstLine="720" w:firstLineChars="200"/>
        <w:textAlignment w:val="baseline"/>
        <w:rPr>
          <w:rFonts w:hint="eastAsia" w:ascii="仿宋" w:hAnsi="仿宋" w:eastAsia="仿宋" w:cs="仿宋"/>
          <w:sz w:val="32"/>
          <w:szCs w:val="32"/>
        </w:rPr>
      </w:pPr>
      <w:r>
        <w:rPr>
          <w:rFonts w:hint="eastAsia" w:ascii="仿宋" w:hAnsi="仿宋" w:eastAsia="仿宋" w:cs="仿宋"/>
          <w:spacing w:val="20"/>
          <w:sz w:val="32"/>
          <w:szCs w:val="32"/>
        </w:rPr>
        <w:t>二、财政专户管理资金：是指缴入财政专户、实行专</w:t>
      </w:r>
      <w:r>
        <w:rPr>
          <w:rFonts w:hint="eastAsia" w:ascii="仿宋" w:hAnsi="仿宋" w:eastAsia="仿宋" w:cs="仿宋"/>
          <w:spacing w:val="4"/>
          <w:sz w:val="32"/>
          <w:szCs w:val="32"/>
        </w:rPr>
        <w:t>项管理的高中以上学费、住宿费、高校委托培养费、函大、</w:t>
      </w:r>
      <w:r>
        <w:rPr>
          <w:rFonts w:hint="eastAsia" w:ascii="仿宋" w:hAnsi="仿宋" w:eastAsia="仿宋" w:cs="仿宋"/>
          <w:spacing w:val="3"/>
          <w:sz w:val="32"/>
          <w:szCs w:val="32"/>
        </w:rPr>
        <w:t>电大、夜大及短训班培训费等教育收费。</w:t>
      </w:r>
    </w:p>
    <w:p>
      <w:pPr>
        <w:pStyle w:val="2"/>
        <w:keepNext w:val="0"/>
        <w:keepLines w:val="0"/>
        <w:pageBreakBefore w:val="0"/>
        <w:widowControl/>
        <w:kinsoku w:val="0"/>
        <w:wordWrap/>
        <w:overflowPunct/>
        <w:topLinePunct w:val="0"/>
        <w:autoSpaceDE w:val="0"/>
        <w:autoSpaceDN w:val="0"/>
        <w:bidi w:val="0"/>
        <w:adjustRightInd w:val="0"/>
        <w:snapToGrid w:val="0"/>
        <w:spacing w:before="1" w:line="560" w:lineRule="exact"/>
        <w:ind w:left="141" w:firstLine="720" w:firstLineChars="200"/>
        <w:textAlignment w:val="baseline"/>
        <w:rPr>
          <w:rFonts w:hint="eastAsia" w:ascii="仿宋" w:hAnsi="仿宋" w:eastAsia="仿宋" w:cs="仿宋"/>
          <w:spacing w:val="20"/>
          <w:sz w:val="32"/>
          <w:szCs w:val="32"/>
        </w:rPr>
      </w:pPr>
      <w:r>
        <w:rPr>
          <w:rFonts w:hint="eastAsia" w:ascii="仿宋" w:hAnsi="仿宋" w:eastAsia="仿宋" w:cs="仿宋"/>
          <w:spacing w:val="20"/>
          <w:sz w:val="32"/>
          <w:szCs w:val="32"/>
        </w:rPr>
        <w:t>三、事业收入：是指事业单位开展专业活动及辅助活动所取得的收入，不包括教育收费。</w:t>
      </w:r>
    </w:p>
    <w:p>
      <w:pPr>
        <w:pStyle w:val="2"/>
        <w:keepNext w:val="0"/>
        <w:keepLines w:val="0"/>
        <w:pageBreakBefore w:val="0"/>
        <w:widowControl/>
        <w:kinsoku w:val="0"/>
        <w:wordWrap/>
        <w:overflowPunct/>
        <w:topLinePunct w:val="0"/>
        <w:autoSpaceDE w:val="0"/>
        <w:autoSpaceDN w:val="0"/>
        <w:bidi w:val="0"/>
        <w:adjustRightInd w:val="0"/>
        <w:snapToGrid w:val="0"/>
        <w:spacing w:before="1" w:line="560" w:lineRule="exact"/>
        <w:ind w:left="141" w:firstLine="720" w:firstLineChars="200"/>
        <w:textAlignment w:val="baseline"/>
        <w:rPr>
          <w:rFonts w:hint="eastAsia" w:ascii="仿宋" w:hAnsi="仿宋" w:eastAsia="仿宋" w:cs="仿宋"/>
          <w:spacing w:val="20"/>
          <w:sz w:val="32"/>
          <w:szCs w:val="32"/>
        </w:rPr>
      </w:pPr>
      <w:r>
        <w:rPr>
          <w:rFonts w:hint="eastAsia" w:ascii="仿宋" w:hAnsi="仿宋" w:eastAsia="仿宋" w:cs="仿宋"/>
          <w:spacing w:val="20"/>
          <w:sz w:val="32"/>
          <w:szCs w:val="32"/>
        </w:rPr>
        <w:t>四、事业单位经营收入：是指事业单位在专业业务活动及其辅助活动之外开展非独立核算经营活动取得的收入。</w:t>
      </w:r>
    </w:p>
    <w:p>
      <w:pPr>
        <w:pStyle w:val="2"/>
        <w:keepNext w:val="0"/>
        <w:keepLines w:val="0"/>
        <w:pageBreakBefore w:val="0"/>
        <w:widowControl/>
        <w:kinsoku w:val="0"/>
        <w:wordWrap/>
        <w:overflowPunct/>
        <w:topLinePunct w:val="0"/>
        <w:autoSpaceDE w:val="0"/>
        <w:autoSpaceDN w:val="0"/>
        <w:bidi w:val="0"/>
        <w:adjustRightInd w:val="0"/>
        <w:snapToGrid w:val="0"/>
        <w:spacing w:before="1" w:line="560" w:lineRule="exact"/>
        <w:ind w:left="141" w:firstLine="720" w:firstLineChars="200"/>
        <w:textAlignment w:val="baseline"/>
        <w:rPr>
          <w:rFonts w:hint="eastAsia" w:ascii="仿宋" w:hAnsi="仿宋" w:eastAsia="仿宋" w:cs="仿宋"/>
          <w:spacing w:val="20"/>
          <w:sz w:val="32"/>
          <w:szCs w:val="32"/>
        </w:rPr>
      </w:pPr>
      <w:r>
        <w:rPr>
          <w:rFonts w:hint="eastAsia" w:ascii="仿宋" w:hAnsi="仿宋" w:eastAsia="仿宋" w:cs="仿宋"/>
          <w:spacing w:val="20"/>
          <w:sz w:val="32"/>
          <w:szCs w:val="32"/>
        </w:rPr>
        <w:t>五</w:t>
      </w:r>
      <w:r>
        <w:rPr>
          <w:rFonts w:hint="eastAsia" w:ascii="仿宋" w:hAnsi="仿宋" w:eastAsia="仿宋" w:cs="仿宋"/>
          <w:spacing w:val="20"/>
          <w:sz w:val="32"/>
          <w:szCs w:val="32"/>
          <w:lang w:eastAsia="zh-CN"/>
        </w:rPr>
        <w:t>、</w:t>
      </w:r>
      <w:r>
        <w:rPr>
          <w:rFonts w:hint="eastAsia" w:ascii="仿宋" w:hAnsi="仿宋" w:eastAsia="仿宋" w:cs="仿宋"/>
          <w:spacing w:val="20"/>
          <w:sz w:val="32"/>
          <w:szCs w:val="32"/>
        </w:rPr>
        <w:t>其他收入：是指部门取得的除“财政拨款”、“事业收入”、“事业单位经营收入”等以外的收入。</w:t>
      </w:r>
    </w:p>
    <w:p>
      <w:pPr>
        <w:pStyle w:val="2"/>
        <w:keepNext w:val="0"/>
        <w:keepLines w:val="0"/>
        <w:pageBreakBefore w:val="0"/>
        <w:widowControl/>
        <w:kinsoku w:val="0"/>
        <w:wordWrap/>
        <w:overflowPunct/>
        <w:topLinePunct w:val="0"/>
        <w:autoSpaceDE w:val="0"/>
        <w:autoSpaceDN w:val="0"/>
        <w:bidi w:val="0"/>
        <w:adjustRightInd w:val="0"/>
        <w:snapToGrid w:val="0"/>
        <w:spacing w:before="1" w:line="560" w:lineRule="exact"/>
        <w:ind w:left="141" w:firstLine="720" w:firstLineChars="200"/>
        <w:textAlignment w:val="baseline"/>
        <w:rPr>
          <w:rFonts w:hint="eastAsia" w:ascii="仿宋" w:hAnsi="仿宋" w:eastAsia="仿宋" w:cs="仿宋"/>
          <w:spacing w:val="20"/>
          <w:sz w:val="32"/>
          <w:szCs w:val="32"/>
        </w:rPr>
      </w:pPr>
      <w:r>
        <w:rPr>
          <w:rFonts w:hint="eastAsia" w:ascii="仿宋" w:hAnsi="仿宋" w:eastAsia="仿宋" w:cs="仿宋"/>
          <w:spacing w:val="20"/>
          <w:sz w:val="32"/>
          <w:szCs w:val="32"/>
        </w:rPr>
        <w:t>六、用事业基金弥补收支差额：是指事业单位在当年的“财政拨款收入”、“事业收入”、“经营收入”和“其他收入”不足以安排当年支出的情况下，使用以前年度积累的事业基金(即事业单位以前各年度收支相抵后，按国家规定提取、用于弥补以后年度收支差额的基金)弥补当年收支缺口的资金。</w:t>
      </w:r>
    </w:p>
    <w:p>
      <w:pPr>
        <w:pStyle w:val="2"/>
        <w:keepNext w:val="0"/>
        <w:keepLines w:val="0"/>
        <w:pageBreakBefore w:val="0"/>
        <w:widowControl/>
        <w:kinsoku w:val="0"/>
        <w:wordWrap/>
        <w:overflowPunct/>
        <w:topLinePunct w:val="0"/>
        <w:autoSpaceDE w:val="0"/>
        <w:autoSpaceDN w:val="0"/>
        <w:bidi w:val="0"/>
        <w:adjustRightInd w:val="0"/>
        <w:snapToGrid w:val="0"/>
        <w:spacing w:before="1" w:line="560" w:lineRule="exact"/>
        <w:ind w:firstLine="720" w:firstLineChars="200"/>
        <w:textAlignment w:val="baseline"/>
        <w:rPr>
          <w:rFonts w:hint="eastAsia" w:ascii="仿宋" w:hAnsi="仿宋" w:eastAsia="仿宋" w:cs="仿宋"/>
          <w:spacing w:val="20"/>
          <w:sz w:val="32"/>
          <w:szCs w:val="32"/>
        </w:rPr>
      </w:pPr>
      <w:r>
        <w:rPr>
          <w:rFonts w:hint="eastAsia" w:ascii="仿宋" w:hAnsi="仿宋" w:eastAsia="仿宋" w:cs="仿宋"/>
          <w:spacing w:val="20"/>
          <w:sz w:val="32"/>
          <w:szCs w:val="32"/>
        </w:rPr>
        <w:t>七、基本支出：是指为保障机构正常运转、完成日常工作任务所必需的开支，其内容包括人员经费和日常公用经费两部分。</w:t>
      </w:r>
    </w:p>
    <w:p>
      <w:pPr>
        <w:pStyle w:val="2"/>
        <w:keepNext w:val="0"/>
        <w:keepLines w:val="0"/>
        <w:pageBreakBefore w:val="0"/>
        <w:widowControl/>
        <w:kinsoku w:val="0"/>
        <w:wordWrap/>
        <w:overflowPunct/>
        <w:topLinePunct w:val="0"/>
        <w:autoSpaceDE w:val="0"/>
        <w:autoSpaceDN w:val="0"/>
        <w:bidi w:val="0"/>
        <w:adjustRightInd w:val="0"/>
        <w:snapToGrid w:val="0"/>
        <w:spacing w:before="1" w:line="560" w:lineRule="exact"/>
        <w:ind w:firstLine="720" w:firstLineChars="200"/>
        <w:textAlignment w:val="baseline"/>
        <w:rPr>
          <w:rFonts w:hint="eastAsia" w:ascii="仿宋" w:hAnsi="仿宋" w:eastAsia="仿宋" w:cs="仿宋"/>
          <w:spacing w:val="20"/>
          <w:sz w:val="32"/>
          <w:szCs w:val="32"/>
        </w:rPr>
      </w:pPr>
      <w:r>
        <w:rPr>
          <w:rFonts w:hint="eastAsia" w:ascii="仿宋" w:hAnsi="仿宋" w:eastAsia="仿宋" w:cs="仿宋"/>
          <w:spacing w:val="20"/>
          <w:sz w:val="32"/>
          <w:szCs w:val="32"/>
        </w:rPr>
        <w:t>项目支出：是指在基本支出之外，为完成特定的行政工作任务或事业发展目标所发生的支出。</w:t>
      </w:r>
    </w:p>
    <w:p>
      <w:pPr>
        <w:pStyle w:val="2"/>
        <w:keepNext w:val="0"/>
        <w:keepLines w:val="0"/>
        <w:pageBreakBefore w:val="0"/>
        <w:widowControl/>
        <w:kinsoku w:val="0"/>
        <w:wordWrap/>
        <w:overflowPunct/>
        <w:topLinePunct w:val="0"/>
        <w:autoSpaceDE w:val="0"/>
        <w:autoSpaceDN w:val="0"/>
        <w:bidi w:val="0"/>
        <w:adjustRightInd w:val="0"/>
        <w:snapToGrid w:val="0"/>
        <w:spacing w:before="1" w:line="560" w:lineRule="exact"/>
        <w:ind w:left="141" w:firstLine="720" w:firstLineChars="200"/>
        <w:textAlignment w:val="baseline"/>
        <w:rPr>
          <w:rFonts w:hint="eastAsia" w:ascii="仿宋" w:hAnsi="仿宋" w:eastAsia="仿宋" w:cs="仿宋"/>
          <w:spacing w:val="20"/>
          <w:sz w:val="32"/>
          <w:szCs w:val="32"/>
        </w:rPr>
      </w:pPr>
      <w:r>
        <w:rPr>
          <w:rFonts w:hint="eastAsia" w:ascii="仿宋" w:hAnsi="仿宋" w:eastAsia="仿宋" w:cs="仿宋"/>
          <w:spacing w:val="20"/>
          <w:sz w:val="32"/>
          <w:szCs w:val="32"/>
        </w:rPr>
        <w:t>九、“三公”经费：是指纳入市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pStyle w:val="2"/>
        <w:keepNext w:val="0"/>
        <w:keepLines w:val="0"/>
        <w:pageBreakBefore w:val="0"/>
        <w:widowControl/>
        <w:kinsoku w:val="0"/>
        <w:wordWrap/>
        <w:overflowPunct/>
        <w:topLinePunct w:val="0"/>
        <w:autoSpaceDE w:val="0"/>
        <w:autoSpaceDN w:val="0"/>
        <w:bidi w:val="0"/>
        <w:adjustRightInd w:val="0"/>
        <w:snapToGrid w:val="0"/>
        <w:spacing w:before="1" w:line="560" w:lineRule="exact"/>
        <w:ind w:left="141" w:firstLine="720" w:firstLineChars="200"/>
        <w:textAlignment w:val="baseline"/>
        <w:rPr>
          <w:rFonts w:hint="eastAsia" w:ascii="仿宋" w:hAnsi="仿宋" w:eastAsia="仿宋" w:cs="仿宋"/>
          <w:spacing w:val="20"/>
          <w:sz w:val="32"/>
          <w:szCs w:val="32"/>
        </w:rPr>
      </w:pPr>
      <w:r>
        <w:rPr>
          <w:rFonts w:hint="eastAsia" w:ascii="仿宋" w:hAnsi="仿宋" w:eastAsia="仿宋" w:cs="仿宋"/>
          <w:spacing w:val="20"/>
          <w:sz w:val="32"/>
          <w:szCs w:val="32"/>
        </w:rPr>
        <w:t>十、机关运行经费：是指为保障行政单位(含参照公务员法管理的事业单位)运行用于购买货物和服务的各项资金，包括办公及印刷费</w:t>
      </w:r>
      <w:r>
        <w:rPr>
          <w:rFonts w:hint="eastAsia" w:cs="仿宋"/>
          <w:spacing w:val="20"/>
          <w:sz w:val="32"/>
          <w:szCs w:val="32"/>
          <w:lang w:eastAsia="zh-CN"/>
        </w:rPr>
        <w:t>、</w:t>
      </w:r>
      <w:r>
        <w:rPr>
          <w:rFonts w:hint="eastAsia" w:ascii="仿宋" w:hAnsi="仿宋" w:eastAsia="仿宋" w:cs="仿宋"/>
          <w:spacing w:val="20"/>
          <w:sz w:val="32"/>
          <w:szCs w:val="32"/>
        </w:rPr>
        <w:t>邮电费、差旅费、会议费、福利费、日常维修费及一般设备购置费、办公用房水电费、办公用房取暖费、办公用房物业管理费、公务用车运行维护费以及其他费用。</w:t>
      </w:r>
    </w:p>
    <w:p>
      <w:pPr>
        <w:pStyle w:val="2"/>
        <w:keepNext w:val="0"/>
        <w:keepLines w:val="0"/>
        <w:pageBreakBefore w:val="0"/>
        <w:widowControl/>
        <w:kinsoku w:val="0"/>
        <w:wordWrap/>
        <w:overflowPunct/>
        <w:topLinePunct w:val="0"/>
        <w:autoSpaceDE w:val="0"/>
        <w:autoSpaceDN w:val="0"/>
        <w:bidi w:val="0"/>
        <w:adjustRightInd w:val="0"/>
        <w:snapToGrid w:val="0"/>
        <w:spacing w:before="1" w:line="560" w:lineRule="exact"/>
        <w:ind w:left="141" w:firstLine="720" w:firstLineChars="200"/>
        <w:textAlignment w:val="baseline"/>
        <w:rPr>
          <w:rFonts w:hint="eastAsia" w:ascii="仿宋" w:hAnsi="仿宋" w:eastAsia="仿宋" w:cs="仿宋"/>
          <w:sz w:val="32"/>
          <w:szCs w:val="32"/>
        </w:rPr>
      </w:pPr>
      <w:r>
        <w:rPr>
          <w:rFonts w:hint="eastAsia" w:ascii="仿宋" w:hAnsi="仿宋" w:eastAsia="仿宋" w:cs="仿宋"/>
          <w:spacing w:val="20"/>
          <w:sz w:val="32"/>
          <w:szCs w:val="32"/>
        </w:rPr>
        <w:t>附件：</w:t>
      </w:r>
      <w:r>
        <w:rPr>
          <w:rFonts w:hint="eastAsia" w:ascii="仿宋" w:hAnsi="仿宋" w:eastAsia="仿宋" w:cs="仿宋"/>
          <w:spacing w:val="20"/>
          <w:sz w:val="32"/>
          <w:szCs w:val="32"/>
          <w:lang w:val="en-US" w:eastAsia="zh-CN"/>
        </w:rPr>
        <w:t>三门峡经济开发区政务服务部</w:t>
      </w:r>
      <w:r>
        <w:rPr>
          <w:rFonts w:hint="eastAsia" w:ascii="仿宋" w:hAnsi="仿宋" w:eastAsia="仿宋" w:cs="仿宋"/>
          <w:spacing w:val="20"/>
          <w:sz w:val="32"/>
          <w:szCs w:val="32"/>
        </w:rPr>
        <w:t>202</w:t>
      </w:r>
      <w:r>
        <w:rPr>
          <w:rFonts w:hint="eastAsia" w:ascii="仿宋" w:hAnsi="仿宋" w:eastAsia="仿宋" w:cs="仿宋"/>
          <w:spacing w:val="20"/>
          <w:sz w:val="32"/>
          <w:szCs w:val="32"/>
          <w:lang w:val="en-US" w:eastAsia="zh-CN"/>
        </w:rPr>
        <w:t>4</w:t>
      </w:r>
      <w:r>
        <w:rPr>
          <w:rFonts w:hint="eastAsia" w:ascii="仿宋" w:hAnsi="仿宋" w:eastAsia="仿宋" w:cs="仿宋"/>
          <w:spacing w:val="20"/>
          <w:sz w:val="32"/>
          <w:szCs w:val="32"/>
        </w:rPr>
        <w:t>年部门预算表</w:t>
      </w:r>
    </w:p>
    <w:sectPr>
      <w:footerReference r:id="rId8" w:type="default"/>
      <w:pgSz w:w="11920" w:h="16880"/>
      <w:pgMar w:top="1434" w:right="1735" w:bottom="1715" w:left="1788" w:header="0" w:footer="156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4171"/>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4161"/>
      <w:rPr>
        <w:rFonts w:ascii="宋体" w:hAnsi="宋体" w:eastAsia="宋体" w:cs="宋体"/>
        <w:sz w:val="13"/>
        <w:szCs w:val="13"/>
      </w:rPr>
    </w:pPr>
    <w:r>
      <w:rPr>
        <w:sz w:val="13"/>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8" w:lineRule="auto"/>
      <w:ind w:left="4192"/>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0" w:lineRule="auto"/>
      <w:ind w:left="4151"/>
      <w:rPr>
        <w:rFonts w:ascii="宋体" w:hAnsi="宋体" w:eastAsia="宋体" w:cs="宋体"/>
        <w:sz w:val="15"/>
        <w:szCs w:val="15"/>
      </w:rPr>
    </w:pPr>
    <w:r>
      <w:rPr>
        <w:sz w:val="15"/>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00C04E"/>
    <w:multiLevelType w:val="singleLevel"/>
    <w:tmpl w:val="A900C04E"/>
    <w:lvl w:ilvl="0" w:tentative="0">
      <w:start w:val="1"/>
      <w:numFmt w:val="chineseCounting"/>
      <w:suff w:val="space"/>
      <w:lvlText w:val="第%1部分"/>
      <w:lvlJc w:val="left"/>
      <w:rPr>
        <w:rFonts w:hint="eastAsia"/>
      </w:rPr>
    </w:lvl>
  </w:abstractNum>
  <w:abstractNum w:abstractNumId="1">
    <w:nsid w:val="2A6563FF"/>
    <w:multiLevelType w:val="singleLevel"/>
    <w:tmpl w:val="2A6563FF"/>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DhmYzg3Y2FiM2MwMmM1NDkyOGVkY2Q4NTQyNWVkNzkifQ=="/>
  </w:docVars>
  <w:rsids>
    <w:rsidRoot w:val="00000000"/>
    <w:rsid w:val="03455F4E"/>
    <w:rsid w:val="03A762C0"/>
    <w:rsid w:val="047271BA"/>
    <w:rsid w:val="052B2F21"/>
    <w:rsid w:val="06BE1947"/>
    <w:rsid w:val="06BF1B73"/>
    <w:rsid w:val="073D0CEA"/>
    <w:rsid w:val="08604DF0"/>
    <w:rsid w:val="08D00067"/>
    <w:rsid w:val="0B736C9F"/>
    <w:rsid w:val="0C191381"/>
    <w:rsid w:val="0C2B625F"/>
    <w:rsid w:val="0DBA238B"/>
    <w:rsid w:val="0DBC3637"/>
    <w:rsid w:val="0E3F0741"/>
    <w:rsid w:val="0E5057A7"/>
    <w:rsid w:val="11301D3F"/>
    <w:rsid w:val="11990174"/>
    <w:rsid w:val="13D977F1"/>
    <w:rsid w:val="140465DA"/>
    <w:rsid w:val="142945AA"/>
    <w:rsid w:val="1663169F"/>
    <w:rsid w:val="17035AAC"/>
    <w:rsid w:val="178A1F00"/>
    <w:rsid w:val="1BD542E9"/>
    <w:rsid w:val="1C406E5A"/>
    <w:rsid w:val="1EB8776E"/>
    <w:rsid w:val="1EF36406"/>
    <w:rsid w:val="1F261BE8"/>
    <w:rsid w:val="20A74B04"/>
    <w:rsid w:val="22BA7459"/>
    <w:rsid w:val="242F7EE0"/>
    <w:rsid w:val="2A016B5D"/>
    <w:rsid w:val="2A6D3510"/>
    <w:rsid w:val="2A6E69EB"/>
    <w:rsid w:val="2B794137"/>
    <w:rsid w:val="2CF33A75"/>
    <w:rsid w:val="2FEA73B1"/>
    <w:rsid w:val="31CC36EB"/>
    <w:rsid w:val="31E74EAA"/>
    <w:rsid w:val="342C7F98"/>
    <w:rsid w:val="34C40D15"/>
    <w:rsid w:val="34D0633D"/>
    <w:rsid w:val="36085EDD"/>
    <w:rsid w:val="360B0AC4"/>
    <w:rsid w:val="372904E3"/>
    <w:rsid w:val="38613F89"/>
    <w:rsid w:val="39E84962"/>
    <w:rsid w:val="3BCE4F24"/>
    <w:rsid w:val="3CA53247"/>
    <w:rsid w:val="3E495BEB"/>
    <w:rsid w:val="3EC478B4"/>
    <w:rsid w:val="417751AD"/>
    <w:rsid w:val="42400673"/>
    <w:rsid w:val="4373744A"/>
    <w:rsid w:val="43B63ABB"/>
    <w:rsid w:val="45082FEE"/>
    <w:rsid w:val="45B61DB8"/>
    <w:rsid w:val="46752AE1"/>
    <w:rsid w:val="46E22739"/>
    <w:rsid w:val="47093C67"/>
    <w:rsid w:val="471072A6"/>
    <w:rsid w:val="47631ACB"/>
    <w:rsid w:val="4A1452FF"/>
    <w:rsid w:val="4C493C30"/>
    <w:rsid w:val="4DA536AB"/>
    <w:rsid w:val="4ED60114"/>
    <w:rsid w:val="50D5583E"/>
    <w:rsid w:val="53BA2305"/>
    <w:rsid w:val="53C96755"/>
    <w:rsid w:val="55C7591B"/>
    <w:rsid w:val="57803FD4"/>
    <w:rsid w:val="58802140"/>
    <w:rsid w:val="5B991B08"/>
    <w:rsid w:val="5C853E3A"/>
    <w:rsid w:val="5CD1707F"/>
    <w:rsid w:val="5CD21AB9"/>
    <w:rsid w:val="5E6C2C6F"/>
    <w:rsid w:val="60ED424E"/>
    <w:rsid w:val="62856942"/>
    <w:rsid w:val="630732DC"/>
    <w:rsid w:val="64D52890"/>
    <w:rsid w:val="65A039C4"/>
    <w:rsid w:val="6C8639E2"/>
    <w:rsid w:val="70756248"/>
    <w:rsid w:val="717F6C52"/>
    <w:rsid w:val="75E874BC"/>
    <w:rsid w:val="76290848"/>
    <w:rsid w:val="78CA2EA9"/>
    <w:rsid w:val="79434D70"/>
    <w:rsid w:val="7A3D429D"/>
    <w:rsid w:val="7BCD518A"/>
    <w:rsid w:val="7C5D6E86"/>
    <w:rsid w:val="7D372F22"/>
    <w:rsid w:val="7FE02FB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3"/>
      <w:szCs w:val="33"/>
      <w:lang w:val="en-US" w:eastAsia="en-US" w:bidi="ar-SA"/>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w:basedOn w:val="2"/>
    <w:autoRedefine/>
    <w:unhideWhenUsed/>
    <w:qFormat/>
    <w:uiPriority w:val="99"/>
    <w:pPr>
      <w:widowControl/>
      <w:adjustRightInd w:val="0"/>
      <w:snapToGrid w:val="0"/>
      <w:spacing w:before="100" w:beforeAutospacing="1" w:after="200"/>
      <w:ind w:firstLine="420" w:firstLineChars="100"/>
      <w:jc w:val="left"/>
    </w:pPr>
    <w:rPr>
      <w:rFonts w:ascii="Tahoma" w:hAnsi="Tahoma"/>
      <w:kern w:val="0"/>
      <w:sz w:val="22"/>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TotalTime>27</TotalTime>
  <ScaleCrop>false</ScaleCrop>
  <LinksUpToDate>false</LinksUpToDate>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2024-04-28T11:00:00Z</dcterms:created>
  <dc:creator>admin</dc:creator>
  <cp:lastModifiedBy>Xiao</cp:lastModifiedBy>
  <dcterms:modified xsi:type="dcterms:W3CDTF">2024-04-30T10:12:10Z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2024-04-28T11:00:12Z</vt:filetime>
  </property>
  <property fmtid="{D5CDD505-2E9C-101B-9397-08002B2CF9AE}" pid="4" name="UsrData">
    <vt:lpwstr>662dbbb2700a27001fc845a2wl</vt:lpwstr>
  </property>
  <property fmtid="{D5CDD505-2E9C-101B-9397-08002B2CF9AE}" pid="5" name="KSOProductBuildVer">
    <vt:lpwstr>2052-12.1.0.16729</vt:lpwstr>
  </property>
  <property fmtid="{D5CDD505-2E9C-101B-9397-08002B2CF9AE}" pid="6" name="ICV">
    <vt:lpwstr>9B79F25DE205499A877BDC848427DC1A_13</vt:lpwstr>
  </property>
</Properties>
</file>